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3C" w:rsidRDefault="00C05E3C" w:rsidP="00C05E3C">
      <w:pPr>
        <w:pStyle w:val="Heading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:rsidR="00C05E3C" w:rsidRDefault="00C05E3C" w:rsidP="00C05E3C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C05E3C" w:rsidRDefault="00C05E3C" w:rsidP="00C05E3C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Proračuna Općine Janjina za 202</w:t>
      </w:r>
      <w:r w:rsidR="00037E18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god. i </w:t>
      </w:r>
    </w:p>
    <w:p w:rsidR="00C05E3C" w:rsidRDefault="00C05E3C" w:rsidP="00C05E3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Projekcije Proračuna za 202</w:t>
      </w:r>
      <w:r w:rsidR="00037E18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i 202</w:t>
      </w:r>
      <w:r w:rsidR="00037E18">
        <w:rPr>
          <w:rFonts w:ascii="Arial" w:hAnsi="Arial" w:cs="Arial"/>
          <w:b/>
          <w:bCs/>
          <w:color w:val="000000" w:themeColor="text1"/>
          <w:sz w:val="32"/>
          <w:szCs w:val="32"/>
        </w:rPr>
        <w:t>7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godinu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C05E3C" w:rsidRDefault="00C05E3C" w:rsidP="00C05E3C">
      <w:pPr>
        <w:rPr>
          <w:rFonts w:ascii="Arial" w:hAnsi="Arial" w:cs="Arial"/>
          <w:b/>
          <w:bCs/>
          <w:color w:val="000000" w:themeColor="text1"/>
        </w:rPr>
      </w:pPr>
    </w:p>
    <w:p w:rsidR="00C05E3C" w:rsidRDefault="00C05E3C" w:rsidP="00C05E3C">
      <w:pPr>
        <w:rPr>
          <w:rFonts w:ascii="Arial" w:hAnsi="Arial" w:cs="Arial"/>
          <w:b/>
          <w:bCs/>
          <w:color w:val="000000" w:themeColor="text1"/>
        </w:rPr>
      </w:pPr>
    </w:p>
    <w:p w:rsidR="00C05E3C" w:rsidRDefault="00B300C9" w:rsidP="00C05E3C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OPĆI DIO</w:t>
      </w:r>
      <w:r w:rsidR="00C05E3C">
        <w:rPr>
          <w:rFonts w:ascii="Arial" w:hAnsi="Arial" w:cs="Arial"/>
          <w:i/>
          <w:sz w:val="32"/>
          <w:szCs w:val="32"/>
        </w:rPr>
        <w:t xml:space="preserve"> </w:t>
      </w:r>
    </w:p>
    <w:p w:rsidR="00C05E3C" w:rsidRDefault="00C05E3C" w:rsidP="00C05E3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Proračun Općine Janjina za razdoblje 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 izrađuje se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temeljem članaka </w:t>
      </w:r>
      <w:r w:rsidR="0020283D">
        <w:rPr>
          <w:rFonts w:ascii="Arial" w:hAnsi="Arial" w:cs="Arial"/>
          <w:color w:val="000000" w:themeColor="text1"/>
          <w:sz w:val="20"/>
          <w:szCs w:val="20"/>
        </w:rPr>
        <w:t>27</w:t>
      </w:r>
      <w:r>
        <w:rPr>
          <w:rFonts w:ascii="Arial" w:hAnsi="Arial" w:cs="Arial"/>
          <w:color w:val="000000" w:themeColor="text1"/>
          <w:sz w:val="20"/>
          <w:szCs w:val="20"/>
        </w:rPr>
        <w:t>-37. Zakona o proračunu (“Narodne novine RH”, br. 144/21).</w:t>
      </w: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Polazište za izradu Prijedloga Proračuna za razdoblje 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 bile su Upute za izradu proračuna JLP(R)S za razdoblje 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-202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godine koje je </w:t>
      </w:r>
      <w:r w:rsidR="000521AF">
        <w:rPr>
          <w:rFonts w:ascii="Arial" w:hAnsi="Arial" w:cs="Arial"/>
          <w:color w:val="000000" w:themeColor="text1"/>
          <w:sz w:val="20"/>
          <w:szCs w:val="20"/>
        </w:rPr>
        <w:t>izradilo Ministarstvo financija.</w:t>
      </w:r>
      <w:bookmarkStart w:id="1" w:name="_GoBack"/>
      <w:bookmarkEnd w:id="1"/>
    </w:p>
    <w:p w:rsidR="00C05E3C" w:rsidRDefault="00C05E3C" w:rsidP="00C05E3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Izrada Proračun</w:t>
      </w:r>
      <w:r w:rsidR="0053358C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Općine Janjina za razdoblje 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 obilježena je značajnim promjenama Zakona o proračunu (NN 144/21)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koji je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stupio </w:t>
      </w:r>
      <w:r>
        <w:rPr>
          <w:rFonts w:ascii="Arial" w:hAnsi="Arial" w:cs="Arial"/>
          <w:color w:val="0F0F0F"/>
          <w:sz w:val="20"/>
          <w:szCs w:val="20"/>
        </w:rPr>
        <w:t xml:space="preserve">je </w:t>
      </w:r>
      <w:r>
        <w:rPr>
          <w:rFonts w:ascii="Arial" w:hAnsi="Arial" w:cs="Arial"/>
          <w:color w:val="111111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snagu 1.1.2022. </w:t>
      </w:r>
      <w:r>
        <w:rPr>
          <w:rFonts w:ascii="Arial" w:hAnsi="Arial" w:cs="Arial"/>
          <w:color w:val="050505"/>
          <w:sz w:val="20"/>
          <w:szCs w:val="20"/>
        </w:rPr>
        <w:t xml:space="preserve">godine, a </w:t>
      </w:r>
      <w:r>
        <w:rPr>
          <w:rFonts w:ascii="Arial" w:hAnsi="Arial" w:cs="Arial"/>
          <w:sz w:val="20"/>
          <w:szCs w:val="20"/>
        </w:rPr>
        <w:t>primjenjuje</w:t>
      </w:r>
      <w:r>
        <w:rPr>
          <w:rFonts w:ascii="Arial" w:hAnsi="Arial" w:cs="Arial"/>
          <w:spacing w:val="-29"/>
          <w:sz w:val="20"/>
          <w:szCs w:val="20"/>
        </w:rPr>
        <w:t xml:space="preserve"> se </w:t>
      </w:r>
      <w:r>
        <w:rPr>
          <w:rFonts w:ascii="Arial" w:hAnsi="Arial" w:cs="Arial"/>
          <w:color w:val="030303"/>
          <w:sz w:val="20"/>
          <w:szCs w:val="20"/>
        </w:rPr>
        <w:t>na</w:t>
      </w:r>
      <w:r>
        <w:rPr>
          <w:rFonts w:ascii="Arial" w:hAnsi="Arial" w:cs="Arial"/>
          <w:color w:val="030303"/>
          <w:spacing w:val="-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proračunsko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razdoblje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r w:rsidRPr="007644E3">
        <w:rPr>
          <w:rFonts w:ascii="Arial" w:hAnsi="Arial" w:cs="Arial"/>
          <w:color w:val="070707"/>
          <w:sz w:val="20"/>
          <w:szCs w:val="20"/>
        </w:rPr>
        <w:t>od</w:t>
      </w:r>
      <w:r w:rsidRPr="007644E3">
        <w:rPr>
          <w:rFonts w:ascii="Arial" w:hAnsi="Arial" w:cs="Arial"/>
          <w:color w:val="070707"/>
          <w:spacing w:val="-36"/>
          <w:sz w:val="20"/>
          <w:szCs w:val="20"/>
        </w:rPr>
        <w:t xml:space="preserve"> </w:t>
      </w:r>
      <w:r w:rsidR="007644E3" w:rsidRPr="007644E3">
        <w:rPr>
          <w:rFonts w:ascii="Arial" w:hAnsi="Arial" w:cs="Arial"/>
          <w:color w:val="070707"/>
          <w:spacing w:val="-36"/>
          <w:sz w:val="20"/>
          <w:szCs w:val="20"/>
        </w:rPr>
        <w:t xml:space="preserve"> </w:t>
      </w:r>
      <w:r w:rsidRPr="007644E3">
        <w:rPr>
          <w:rFonts w:ascii="Arial" w:hAnsi="Arial" w:cs="Arial"/>
          <w:sz w:val="20"/>
          <w:szCs w:val="20"/>
        </w:rPr>
        <w:t>202</w:t>
      </w:r>
      <w:r w:rsidR="007644E3" w:rsidRPr="007644E3">
        <w:rPr>
          <w:rFonts w:ascii="Arial" w:hAnsi="Arial" w:cs="Arial"/>
          <w:sz w:val="20"/>
          <w:szCs w:val="20"/>
        </w:rPr>
        <w:t>5</w:t>
      </w:r>
      <w:r w:rsidRPr="007644E3">
        <w:rPr>
          <w:rFonts w:ascii="Arial" w:hAnsi="Arial" w:cs="Arial"/>
          <w:sz w:val="20"/>
          <w:szCs w:val="20"/>
        </w:rPr>
        <w:t>.-202</w:t>
      </w:r>
      <w:r w:rsidR="007644E3" w:rsidRPr="007644E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godine.</w:t>
      </w:r>
    </w:p>
    <w:p w:rsidR="00C05E3C" w:rsidRDefault="00C05E3C" w:rsidP="00C05E3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Najznačajnije novosti Zakona vezane za izradu proračuna:</w:t>
      </w:r>
    </w:p>
    <w:p w:rsidR="00C05E3C" w:rsidRDefault="00C05E3C" w:rsidP="00C05E3C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donosi na drugoj razini ekonomske klasifikacije</w:t>
      </w:r>
      <w:r>
        <w:rPr>
          <w:rFonts w:ascii="Arial" w:hAnsi="Arial" w:cs="Arial"/>
          <w:sz w:val="20"/>
          <w:szCs w:val="20"/>
        </w:rPr>
        <w:t>, tj. na razini skupine Računskog plana, što je manje detaljno u odnosu na ranije kad se proračun donosio na trećoj razini ekonomske klasifikacije, tj. na razini podskupine Računskog plana. Donošenje proračuna na manje detaljnoj razini omogućiti će veću fleksibilnost u izvršavanju proračuna.</w:t>
      </w:r>
    </w:p>
    <w:p w:rsidR="00C05E3C" w:rsidRPr="00500B34" w:rsidRDefault="00C05E3C" w:rsidP="00C05E3C">
      <w:pPr>
        <w:pStyle w:val="BodyText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sastoji od općeg dijela kojeg čini sažetak, račun prihoda i rashoda, rashodi prema funkcijskoj klasifikaciji, račun financiranja te posebnog dijela i obrazloženja</w:t>
      </w:r>
      <w:r>
        <w:rPr>
          <w:rFonts w:ascii="Arial" w:hAnsi="Arial" w:cs="Arial"/>
          <w:sz w:val="20"/>
          <w:szCs w:val="20"/>
        </w:rPr>
        <w:t>. Prema prijašnjem Zakonu, proračun se sastojao od općeg dijela, posebnog dijela i plana razvojnih programa. Novim Zakonom obrazloženje postaje sastavni dio proračuna.</w:t>
      </w:r>
    </w:p>
    <w:p w:rsidR="00C05E3C" w:rsidRDefault="00C05E3C" w:rsidP="00C05E3C">
      <w:pPr>
        <w:pStyle w:val="BodyText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Uz Proračun 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godine, predlaže se i Projekcija proračuna za razdoblje 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 - 202</w:t>
      </w:r>
      <w:r w:rsidR="007644E3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godine.</w:t>
      </w:r>
      <w:bookmarkStart w:id="2" w:name="_Hlk499301077"/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Proračunom i projekcijom je planiran nastavak ulaganja Općine u kapitalne investicije. Po dobivanju obavijesti o prihvaćanju nekog od prijavljenih projekata sa sufinanciranje, predložit će se izmjene i dopune proračuna.  Proračunom se nastavljaju značajnija ulaganja u komunalnu infrastrukturu (izgradnja novih i sanacija i uređenje postojećih </w:t>
      </w:r>
      <w:r w:rsidR="0020283D">
        <w:rPr>
          <w:rFonts w:ascii="Arial" w:hAnsi="Arial" w:cs="Arial"/>
          <w:color w:val="000000" w:themeColor="text1"/>
          <w:sz w:val="20"/>
          <w:szCs w:val="20"/>
        </w:rPr>
        <w:t>objekata infrastrukture,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širenje groblja u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Sreseru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Osobjavi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0283D">
        <w:rPr>
          <w:rFonts w:ascii="Arial" w:hAnsi="Arial" w:cs="Arial"/>
          <w:color w:val="000000" w:themeColor="text1"/>
          <w:sz w:val="20"/>
          <w:szCs w:val="20"/>
        </w:rPr>
        <w:t>uređenje i</w:t>
      </w:r>
      <w:r w:rsidR="008557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održavanje pomorskog dobra</w:t>
      </w:r>
      <w:r w:rsidR="0053358C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Proračunom kod javnih potreba planirana su sredstva za izdvajanja u predškolskom odgoju, u razvoj civilnog društva, a poseban naglasak se daje kod socijalnih prava i drugih potpora stanovništvu (subvencije prijevoza, naknade za novorođenu djecu i sklopljene brakove, božićnice umirovljenicima).</w:t>
      </w:r>
    </w:p>
    <w:p w:rsidR="00C05E3C" w:rsidRDefault="00C05E3C" w:rsidP="00C05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2"/>
    </w:p>
    <w:p w:rsidR="00C05E3C" w:rsidRDefault="00C05E3C" w:rsidP="00C05E3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354C6">
        <w:rPr>
          <w:rFonts w:ascii="Arial" w:hAnsi="Arial" w:cs="Arial"/>
          <w:sz w:val="20"/>
          <w:szCs w:val="20"/>
        </w:rPr>
        <w:t xml:space="preserve">Prijedlogom Proračuna Općine </w:t>
      </w:r>
      <w:r>
        <w:rPr>
          <w:rFonts w:ascii="Arial" w:hAnsi="Arial" w:cs="Arial"/>
          <w:sz w:val="20"/>
          <w:szCs w:val="20"/>
        </w:rPr>
        <w:t>Janjina</w:t>
      </w:r>
      <w:r w:rsidRPr="00B354C6">
        <w:rPr>
          <w:rFonts w:ascii="Arial" w:hAnsi="Arial" w:cs="Arial"/>
          <w:sz w:val="20"/>
          <w:szCs w:val="20"/>
        </w:rPr>
        <w:t xml:space="preserve"> za 202</w:t>
      </w:r>
      <w:r w:rsidR="007644E3">
        <w:rPr>
          <w:rFonts w:ascii="Arial" w:hAnsi="Arial" w:cs="Arial"/>
          <w:sz w:val="20"/>
          <w:szCs w:val="20"/>
        </w:rPr>
        <w:t>5</w:t>
      </w:r>
      <w:r w:rsidRPr="00B354C6"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E95C6F">
        <w:rPr>
          <w:rFonts w:ascii="Arial" w:hAnsi="Arial" w:cs="Arial"/>
          <w:sz w:val="20"/>
          <w:szCs w:val="20"/>
        </w:rPr>
        <w:t>2.045.600</w:t>
      </w:r>
      <w:r w:rsidR="008557D3" w:rsidRPr="008557D3">
        <w:rPr>
          <w:rFonts w:ascii="Arial" w:hAnsi="Arial" w:cs="Arial"/>
          <w:sz w:val="20"/>
          <w:szCs w:val="20"/>
        </w:rPr>
        <w:t xml:space="preserve">,00 </w:t>
      </w:r>
      <w:r w:rsidRPr="00B354C6">
        <w:rPr>
          <w:rFonts w:ascii="Arial" w:hAnsi="Arial" w:cs="Arial"/>
          <w:sz w:val="20"/>
          <w:szCs w:val="20"/>
        </w:rPr>
        <w:t xml:space="preserve">EUR te rashodi i izdaci u iznosu </w:t>
      </w:r>
      <w:r w:rsidR="00E95C6F">
        <w:rPr>
          <w:rFonts w:ascii="Arial" w:hAnsi="Arial" w:cs="Arial"/>
          <w:sz w:val="20"/>
          <w:szCs w:val="20"/>
        </w:rPr>
        <w:t>2.045.600</w:t>
      </w:r>
      <w:r w:rsidR="008557D3" w:rsidRPr="008557D3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B354C6">
        <w:rPr>
          <w:rFonts w:ascii="Arial" w:hAnsi="Arial" w:cs="Arial"/>
          <w:sz w:val="20"/>
          <w:szCs w:val="20"/>
        </w:rPr>
        <w:t xml:space="preserve">EUR. </w:t>
      </w:r>
    </w:p>
    <w:p w:rsidR="00E35DC7" w:rsidRDefault="00E35DC7" w:rsidP="00C05E3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35DC7" w:rsidRDefault="00E35DC7" w:rsidP="00C05E3C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5DC7" w:rsidRDefault="00E35DC7" w:rsidP="00C05E3C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5DC7" w:rsidRDefault="00E35DC7" w:rsidP="00C05E3C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5DC7" w:rsidRDefault="00E35DC7" w:rsidP="00C05E3C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5DC7" w:rsidRDefault="00E35DC7" w:rsidP="00E35DC7">
      <w:pPr>
        <w:pStyle w:val="Heading2"/>
        <w:rPr>
          <w:rFonts w:ascii="Arial" w:hAnsi="Arial" w:cs="Arial"/>
          <w:color w:val="auto"/>
          <w:sz w:val="28"/>
          <w:szCs w:val="28"/>
          <w:u w:val="single"/>
        </w:rPr>
      </w:pPr>
      <w:bookmarkStart w:id="3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3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:rsidR="00E35DC7" w:rsidRDefault="00E35DC7" w:rsidP="00E35DC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35DC7" w:rsidRDefault="00E35DC7" w:rsidP="00E35DC7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35DC7" w:rsidRDefault="00E35DC7" w:rsidP="00E35DC7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7644E3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:rsidR="00E35DC7" w:rsidRDefault="00E35DC7" w:rsidP="00E35DC7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35DC7" w:rsidRPr="008557D3" w:rsidRDefault="00E35DC7" w:rsidP="00F77920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 w:bidi="ar-SA"/>
        </w:rPr>
      </w:pPr>
      <w:r>
        <w:rPr>
          <w:rFonts w:ascii="Arial" w:hAnsi="Arial" w:cs="Arial"/>
          <w:sz w:val="20"/>
          <w:szCs w:val="20"/>
        </w:rPr>
        <w:lastRenderedPageBreak/>
        <w:t>Prijedlogom Proračuna Općine Janjina za 202</w:t>
      </w:r>
      <w:r w:rsidR="007644E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E95C6F" w:rsidRPr="00E95C6F">
        <w:rPr>
          <w:rFonts w:ascii="Arial" w:hAnsi="Arial" w:cs="Arial"/>
          <w:b/>
          <w:sz w:val="20"/>
          <w:szCs w:val="20"/>
        </w:rPr>
        <w:t>2.045.600,00</w:t>
      </w:r>
      <w:r>
        <w:rPr>
          <w:rFonts w:ascii="Arial" w:hAnsi="Arial" w:cs="Arial"/>
          <w:b/>
          <w:bCs/>
          <w:sz w:val="20"/>
          <w:szCs w:val="20"/>
        </w:rPr>
        <w:t xml:space="preserve"> EUR </w:t>
      </w:r>
      <w:r w:rsidR="00F7792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35DC7" w:rsidRDefault="00E35DC7" w:rsidP="00E35DC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E35DC7" w:rsidRDefault="00E35DC7" w:rsidP="00E35DC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E95C6F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godini, te usporedba sa planom u 202</w:t>
      </w:r>
      <w:r w:rsidR="00E95C6F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godini: </w:t>
      </w:r>
    </w:p>
    <w:p w:rsidR="00E35DC7" w:rsidRDefault="00E35DC7" w:rsidP="00E35DC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35DC7" w:rsidRDefault="00E35DC7" w:rsidP="00E35DC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Tablica 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Planirani prihodi i primici Proračuna Općine </w:t>
      </w:r>
      <w:r w:rsidR="00D95532">
        <w:rPr>
          <w:rFonts w:ascii="Arial" w:hAnsi="Arial" w:cs="Arial"/>
          <w:b/>
          <w:color w:val="000000" w:themeColor="text1"/>
          <w:sz w:val="20"/>
          <w:szCs w:val="20"/>
        </w:rPr>
        <w:t>Janjina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za 202</w:t>
      </w:r>
      <w:r w:rsidR="00E95C6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35DC7" w:rsidRDefault="00E35DC7" w:rsidP="00E35DC7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tbl>
      <w:tblPr>
        <w:tblW w:w="10832" w:type="dxa"/>
        <w:tblInd w:w="-709" w:type="dxa"/>
        <w:tblLook w:val="04A0" w:firstRow="1" w:lastRow="0" w:firstColumn="1" w:lastColumn="0" w:noHBand="0" w:noVBand="1"/>
      </w:tblPr>
      <w:tblGrid>
        <w:gridCol w:w="856"/>
        <w:gridCol w:w="4831"/>
        <w:gridCol w:w="1454"/>
        <w:gridCol w:w="1435"/>
        <w:gridCol w:w="906"/>
        <w:gridCol w:w="1350"/>
      </w:tblGrid>
      <w:tr w:rsidR="00E35DC7" w:rsidRPr="009E315A" w:rsidTr="00F33889">
        <w:trPr>
          <w:trHeight w:val="514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BROJ KONTA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DC7" w:rsidRPr="009E315A" w:rsidRDefault="00E35DC7" w:rsidP="00BC35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VRSTA PRIHODA/PRIMITAKA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DC7" w:rsidRPr="009E315A" w:rsidRDefault="00E35DC7" w:rsidP="00E95C6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 202</w:t>
            </w:r>
            <w:r w:rsidR="00E95C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DC7" w:rsidRPr="009E315A" w:rsidRDefault="00E35DC7" w:rsidP="00E95C6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 202</w:t>
            </w:r>
            <w:r w:rsidR="00E95C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DC7" w:rsidRPr="009E315A" w:rsidRDefault="00E35DC7" w:rsidP="00BC35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DC7" w:rsidRPr="009E315A" w:rsidRDefault="00E35DC7" w:rsidP="00BC35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311"/>
        </w:trPr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UKUPNO PRIHODI/PRIMICI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5DC7" w:rsidRPr="009E315A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1.378.510</w:t>
            </w:r>
            <w:r w:rsidR="008557D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5DC7" w:rsidRPr="009E315A" w:rsidRDefault="00E95C6F" w:rsidP="00E95C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E95C6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2.045.600,00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5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6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E35DC7" w:rsidRPr="009E315A" w:rsidRDefault="002822F2" w:rsidP="00F8527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1.208.310</w:t>
            </w:r>
            <w:r w:rsidR="00F3388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E35DC7" w:rsidRPr="009E315A" w:rsidRDefault="00E95C6F" w:rsidP="00E95C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1.835.100,00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311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poreza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F33889" w:rsidP="002822F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</w:t>
            </w:r>
            <w:r w:rsidR="002822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431.500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95C6F" w:rsidP="00F779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610.690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F7792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324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550.500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95C6F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984.400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311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imovine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23.050.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F33889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23.050,00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095EC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514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67.860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F33889" w:rsidP="00E95C6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</w:t>
            </w:r>
            <w:r w:rsidR="00E95C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100.960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095EC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514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prodaje proizvoda i roba te pruženi usluga i prihodi od donacija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F33889" w:rsidP="002822F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134.</w:t>
            </w:r>
            <w:r w:rsidR="002822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95C6F" w:rsidP="00F338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115.000</w:t>
            </w:r>
            <w:r w:rsidR="00E35D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095EC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311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68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Kazne i upravne mjere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1.000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F33889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1.000,00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311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bookmarkStart w:id="4" w:name="_Hlk118881339"/>
            <w:bookmarkStart w:id="5" w:name="_Hlk118881255"/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7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Prihodi od prodaje nefinancijske imovine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E35DC7" w:rsidRPr="009E315A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60.200</w:t>
            </w:r>
            <w:r w:rsidR="00F3388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E35DC7" w:rsidRPr="009E315A" w:rsidRDefault="002822F2" w:rsidP="00F338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60.500</w:t>
            </w:r>
            <w:r w:rsidR="00E35DC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E35DC7" w:rsidRPr="009E315A" w:rsidRDefault="00E35DC7" w:rsidP="00095EC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</w:p>
        </w:tc>
      </w:tr>
      <w:bookmarkEnd w:id="4"/>
      <w:tr w:rsidR="00E35DC7" w:rsidRPr="009E315A" w:rsidTr="00F85270">
        <w:trPr>
          <w:trHeight w:val="311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F33889">
        <w:trPr>
          <w:trHeight w:val="311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72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E31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prodaje proizvedene dugotrajne imovine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60.200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DC7" w:rsidRPr="009E315A" w:rsidRDefault="002822F2" w:rsidP="00F3388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60.</w:t>
            </w:r>
            <w:r w:rsidR="00E95C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500</w:t>
            </w:r>
            <w:r w:rsidR="00E35DC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bookmarkEnd w:id="5"/>
      <w:tr w:rsidR="00E35DC7" w:rsidRPr="009E315A" w:rsidTr="00BC35E5">
        <w:trPr>
          <w:trHeight w:val="311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E35DC7" w:rsidRPr="009E315A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1"/>
            <w:vAlign w:val="bottom"/>
          </w:tcPr>
          <w:p w:rsidR="00E35DC7" w:rsidRPr="009774D2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9774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Primici od financi</w:t>
            </w:r>
            <w:r w:rsidR="008557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js</w:t>
            </w:r>
            <w:r w:rsidRPr="009774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ke imovine i zaduživanja</w:t>
            </w:r>
          </w:p>
          <w:p w:rsidR="00E35DC7" w:rsidRPr="009774D2" w:rsidRDefault="00E35DC7" w:rsidP="00BC35E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E35DC7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110.000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</w:tcPr>
          <w:p w:rsidR="00E35DC7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150.00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nil"/>
            </w:tcBorders>
            <w:shd w:val="clear" w:color="auto" w:fill="5B9BD5" w:themeFill="accent1"/>
            <w:noWrap/>
            <w:vAlign w:val="bottom"/>
          </w:tcPr>
          <w:p w:rsidR="00E35DC7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5B9BD5" w:themeFill="accent1"/>
            <w:noWrap/>
            <w:vAlign w:val="bottom"/>
          </w:tcPr>
          <w:p w:rsidR="00E35DC7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E35DC7" w:rsidRPr="009E315A" w:rsidTr="00BC35E5">
        <w:trPr>
          <w:trHeight w:val="311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DC7" w:rsidRPr="009E315A" w:rsidRDefault="00E35DC7" w:rsidP="00095E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</w:t>
            </w:r>
            <w:r w:rsidR="00095E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DC7" w:rsidRPr="009E315A" w:rsidRDefault="00095ECB" w:rsidP="00BC35E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95E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Primici od zaduživanja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DC7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110.000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DC7" w:rsidRDefault="002822F2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150.00</w:t>
            </w:r>
            <w:r w:rsidR="00F3388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35DC7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35DC7" w:rsidRDefault="00E35DC7" w:rsidP="00BC35E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F33889" w:rsidRPr="009E315A" w:rsidTr="00D91DA8">
        <w:trPr>
          <w:trHeight w:val="311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F33889" w:rsidRDefault="00F33889" w:rsidP="00F3388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</w:tcPr>
          <w:p w:rsidR="00F33889" w:rsidRDefault="00F33889" w:rsidP="00F3388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F33889" w:rsidRDefault="002822F2" w:rsidP="00F3388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60.200</w:t>
            </w:r>
            <w:r w:rsidR="00F3388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F33889" w:rsidRDefault="00F33889" w:rsidP="002822F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60.</w:t>
            </w:r>
            <w:r w:rsidR="002822F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F33889" w:rsidRDefault="00F33889" w:rsidP="00F3388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</w:tcPr>
          <w:p w:rsidR="00F33889" w:rsidRDefault="00F33889" w:rsidP="00F3388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33889" w:rsidRPr="009E315A" w:rsidTr="00F33889">
        <w:trPr>
          <w:trHeight w:val="311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89" w:rsidRDefault="00F33889" w:rsidP="00F33889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18875348"/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889" w:rsidRDefault="00F33889" w:rsidP="00F33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89" w:rsidRDefault="002822F2" w:rsidP="00F338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60.200</w:t>
            </w:r>
            <w:r w:rsidR="009D7E8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89" w:rsidRDefault="009D7E8E" w:rsidP="002822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  <w:r w:rsidR="002822F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89" w:rsidRDefault="00F33889" w:rsidP="00F338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89" w:rsidRDefault="00F33889" w:rsidP="00F338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:rsidR="00E35DC7" w:rsidRDefault="00E35DC7" w:rsidP="00E35DC7">
      <w:pPr>
        <w:jc w:val="both"/>
        <w:rPr>
          <w:rFonts w:ascii="Arial" w:hAnsi="Arial" w:cs="Arial"/>
          <w:b/>
          <w:sz w:val="20"/>
          <w:szCs w:val="20"/>
        </w:rPr>
      </w:pPr>
    </w:p>
    <w:p w:rsidR="00F33889" w:rsidRDefault="00F33889" w:rsidP="00E35DC7">
      <w:pPr>
        <w:jc w:val="both"/>
        <w:rPr>
          <w:rFonts w:ascii="Arial" w:hAnsi="Arial" w:cs="Arial"/>
          <w:b/>
          <w:sz w:val="20"/>
          <w:szCs w:val="20"/>
        </w:rPr>
      </w:pPr>
    </w:p>
    <w:p w:rsidR="00E35DC7" w:rsidRPr="00466556" w:rsidRDefault="00E35DC7" w:rsidP="0046655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>- Prihodi od poreza za 202</w:t>
      </w:r>
      <w:r w:rsidR="002822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planirani su u iznosu </w:t>
      </w:r>
      <w:r w:rsidR="002822F2">
        <w:rPr>
          <w:rFonts w:ascii="Arial" w:hAnsi="Arial" w:cs="Arial"/>
          <w:sz w:val="20"/>
          <w:szCs w:val="20"/>
        </w:rPr>
        <w:t>610.690</w:t>
      </w:r>
      <w:r>
        <w:rPr>
          <w:rFonts w:ascii="Arial" w:hAnsi="Arial" w:cs="Arial"/>
          <w:sz w:val="20"/>
          <w:szCs w:val="20"/>
        </w:rPr>
        <w:t>,00 EUR. Unutar poreznih prihoda porez i prirez na dohodak su planirani za 202</w:t>
      </w:r>
      <w:r w:rsidR="002822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u iznosu </w:t>
      </w:r>
      <w:r w:rsidR="00466556">
        <w:rPr>
          <w:rFonts w:ascii="Arial" w:hAnsi="Arial" w:cs="Arial"/>
          <w:sz w:val="20"/>
          <w:szCs w:val="20"/>
        </w:rPr>
        <w:t>205.000</w:t>
      </w:r>
      <w:r w:rsidR="00DB0882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EUR. Porezi na imovinu planirani su u iznosu </w:t>
      </w:r>
      <w:r w:rsidR="00466556" w:rsidRPr="00466556">
        <w:rPr>
          <w:rFonts w:ascii="Arial" w:eastAsia="Times New Roman" w:hAnsi="Arial" w:cs="Arial"/>
          <w:bCs/>
          <w:kern w:val="0"/>
          <w:sz w:val="20"/>
          <w:szCs w:val="20"/>
          <w:lang w:eastAsia="hr-HR" w:bidi="ar-SA"/>
        </w:rPr>
        <w:t>398.590,00</w:t>
      </w:r>
      <w:r>
        <w:rPr>
          <w:rFonts w:ascii="Arial" w:hAnsi="Arial" w:cs="Arial"/>
          <w:sz w:val="20"/>
          <w:szCs w:val="20"/>
        </w:rPr>
        <w:t xml:space="preserve"> EUR (</w:t>
      </w:r>
      <w:r w:rsidR="00DB0882">
        <w:rPr>
          <w:rFonts w:ascii="Arial" w:hAnsi="Arial" w:cs="Arial"/>
          <w:sz w:val="20"/>
          <w:szCs w:val="20"/>
        </w:rPr>
        <w:t xml:space="preserve">dio </w:t>
      </w:r>
      <w:r>
        <w:rPr>
          <w:rFonts w:ascii="Arial" w:hAnsi="Arial" w:cs="Arial"/>
          <w:sz w:val="20"/>
          <w:szCs w:val="20"/>
        </w:rPr>
        <w:t>ostvarenj</w:t>
      </w:r>
      <w:r w:rsidR="00DB088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ovih poreza ovis</w:t>
      </w:r>
      <w:r w:rsidR="00DB088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 kretanju na tržištu nekretnina)  i porezi na robu i usluge (porez na potrošnju) </w:t>
      </w:r>
      <w:r w:rsidR="00466556">
        <w:rPr>
          <w:rFonts w:ascii="Arial" w:hAnsi="Arial" w:cs="Arial"/>
          <w:sz w:val="20"/>
          <w:szCs w:val="20"/>
        </w:rPr>
        <w:t>7.000</w:t>
      </w:r>
      <w:r>
        <w:rPr>
          <w:rFonts w:ascii="Arial" w:hAnsi="Arial" w:cs="Arial"/>
          <w:sz w:val="20"/>
          <w:szCs w:val="20"/>
        </w:rPr>
        <w:t>,00 EUR.</w:t>
      </w:r>
    </w:p>
    <w:p w:rsidR="00E35DC7" w:rsidRDefault="00E35DC7" w:rsidP="00E35DC7">
      <w:pPr>
        <w:jc w:val="both"/>
        <w:rPr>
          <w:rFonts w:ascii="Arial" w:hAnsi="Arial" w:cs="Arial"/>
          <w:sz w:val="20"/>
          <w:szCs w:val="20"/>
        </w:rPr>
      </w:pPr>
    </w:p>
    <w:p w:rsidR="00E35DC7" w:rsidRDefault="00E35DC7" w:rsidP="00E35D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466556" w:rsidRPr="00466556">
        <w:rPr>
          <w:rFonts w:ascii="Arial" w:hAnsi="Arial" w:cs="Arial"/>
          <w:sz w:val="20"/>
          <w:szCs w:val="20"/>
        </w:rPr>
        <w:t>984.400,00</w:t>
      </w:r>
      <w:r>
        <w:rPr>
          <w:rFonts w:ascii="Arial" w:hAnsi="Arial" w:cs="Arial"/>
          <w:sz w:val="20"/>
          <w:szCs w:val="20"/>
        </w:rPr>
        <w:t xml:space="preserve"> EUR. </w:t>
      </w:r>
    </w:p>
    <w:p w:rsidR="00E35DC7" w:rsidRDefault="00E35DC7" w:rsidP="00E35DC7">
      <w:pPr>
        <w:jc w:val="both"/>
        <w:rPr>
          <w:rFonts w:ascii="Arial" w:hAnsi="Arial" w:cs="Arial"/>
          <w:sz w:val="20"/>
          <w:szCs w:val="20"/>
        </w:rPr>
      </w:pPr>
    </w:p>
    <w:p w:rsidR="004F0A85" w:rsidRDefault="004F0A85" w:rsidP="004F0A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na podskupinama računa planirano je:</w:t>
      </w:r>
    </w:p>
    <w:p w:rsidR="00565F91" w:rsidRPr="00AE0E34" w:rsidRDefault="004F0A85" w:rsidP="004665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AE0E34">
        <w:rPr>
          <w:rFonts w:ascii="Arial" w:hAnsi="Arial" w:cs="Arial"/>
          <w:sz w:val="20"/>
          <w:szCs w:val="20"/>
          <w:u w:val="single"/>
        </w:rPr>
        <w:t>633 Pomoći proračunu iz drugih proračuna</w:t>
      </w:r>
      <w:r w:rsidRPr="00AE0E34">
        <w:rPr>
          <w:rFonts w:ascii="Arial" w:hAnsi="Arial" w:cs="Arial"/>
          <w:sz w:val="20"/>
          <w:szCs w:val="20"/>
        </w:rPr>
        <w:t xml:space="preserve"> – </w:t>
      </w:r>
      <w:r w:rsidR="00466556" w:rsidRPr="00AE0E34">
        <w:rPr>
          <w:rFonts w:ascii="Arial" w:hAnsi="Arial" w:cs="Arial"/>
          <w:sz w:val="20"/>
          <w:szCs w:val="20"/>
        </w:rPr>
        <w:t xml:space="preserve">436.400,00 </w:t>
      </w:r>
      <w:r w:rsidRPr="00AE0E34">
        <w:rPr>
          <w:rFonts w:ascii="Arial" w:hAnsi="Arial" w:cs="Arial"/>
          <w:sz w:val="20"/>
          <w:szCs w:val="20"/>
        </w:rPr>
        <w:t xml:space="preserve">EUR, a odnose se na </w:t>
      </w:r>
      <w:r w:rsidR="00D97C89" w:rsidRPr="00AE0E34">
        <w:rPr>
          <w:rFonts w:ascii="Arial" w:hAnsi="Arial" w:cs="Arial"/>
          <w:sz w:val="20"/>
          <w:szCs w:val="20"/>
        </w:rPr>
        <w:t xml:space="preserve">tekuće pomoći iz državnog i županijskog proračuna u iznosu </w:t>
      </w:r>
      <w:r w:rsidR="00DB0882" w:rsidRPr="00AE0E34">
        <w:rPr>
          <w:rFonts w:ascii="Arial" w:hAnsi="Arial" w:cs="Arial"/>
          <w:sz w:val="20"/>
          <w:szCs w:val="20"/>
        </w:rPr>
        <w:t>22.500</w:t>
      </w:r>
      <w:r w:rsidR="00D97C89" w:rsidRPr="00AE0E34">
        <w:rPr>
          <w:rFonts w:ascii="Arial" w:hAnsi="Arial" w:cs="Arial"/>
          <w:sz w:val="20"/>
          <w:szCs w:val="20"/>
        </w:rPr>
        <w:t>,00 EUR</w:t>
      </w:r>
      <w:r w:rsidR="00466556" w:rsidRPr="00AE0E34">
        <w:rPr>
          <w:rFonts w:ascii="Arial" w:hAnsi="Arial" w:cs="Arial"/>
          <w:sz w:val="20"/>
          <w:szCs w:val="20"/>
        </w:rPr>
        <w:t xml:space="preserve">  te</w:t>
      </w:r>
      <w:r w:rsidR="00D97C89" w:rsidRPr="00AE0E34">
        <w:rPr>
          <w:rFonts w:ascii="Arial" w:hAnsi="Arial" w:cs="Arial"/>
          <w:sz w:val="20"/>
          <w:szCs w:val="20"/>
        </w:rPr>
        <w:t xml:space="preserve"> </w:t>
      </w:r>
      <w:r w:rsidRPr="00AE0E34">
        <w:rPr>
          <w:rFonts w:ascii="Arial" w:hAnsi="Arial" w:cs="Arial"/>
          <w:sz w:val="20"/>
          <w:szCs w:val="20"/>
        </w:rPr>
        <w:t xml:space="preserve">kapitalne pomoći iz </w:t>
      </w:r>
      <w:r w:rsidR="00DB0882" w:rsidRPr="00AE0E34">
        <w:rPr>
          <w:rFonts w:ascii="Arial" w:hAnsi="Arial" w:cs="Arial"/>
          <w:sz w:val="20"/>
          <w:szCs w:val="20"/>
        </w:rPr>
        <w:t xml:space="preserve">državnog i </w:t>
      </w:r>
      <w:r w:rsidRPr="00AE0E34">
        <w:rPr>
          <w:rFonts w:ascii="Arial" w:hAnsi="Arial" w:cs="Arial"/>
          <w:sz w:val="20"/>
          <w:szCs w:val="20"/>
        </w:rPr>
        <w:t xml:space="preserve">županijskog proračuna </w:t>
      </w:r>
      <w:r w:rsidR="00466556" w:rsidRPr="00AE0E34">
        <w:rPr>
          <w:rFonts w:ascii="Arial" w:hAnsi="Arial" w:cs="Arial"/>
          <w:sz w:val="20"/>
          <w:szCs w:val="20"/>
        </w:rPr>
        <w:t>413.900,00</w:t>
      </w:r>
      <w:r w:rsidR="00B44BE3" w:rsidRPr="00AE0E34">
        <w:rPr>
          <w:rFonts w:ascii="Arial" w:hAnsi="Arial" w:cs="Arial"/>
          <w:sz w:val="20"/>
          <w:szCs w:val="20"/>
        </w:rPr>
        <w:t xml:space="preserve"> </w:t>
      </w:r>
      <w:r w:rsidRPr="00AE0E34">
        <w:rPr>
          <w:rFonts w:ascii="Arial" w:hAnsi="Arial" w:cs="Arial"/>
          <w:sz w:val="20"/>
          <w:szCs w:val="20"/>
        </w:rPr>
        <w:t xml:space="preserve">EUR za </w:t>
      </w:r>
      <w:r w:rsidR="007D4132" w:rsidRPr="00AE0E34">
        <w:rPr>
          <w:rFonts w:ascii="Arial" w:hAnsi="Arial" w:cs="Arial"/>
          <w:sz w:val="20"/>
          <w:szCs w:val="20"/>
        </w:rPr>
        <w:t xml:space="preserve">radove na pomorskom dobru (40.000,00 iz županijskog proračuna), uređenje ulice uz Janjinu (90.000,00), modernizaciju javne rasvjete (70.000,00), </w:t>
      </w:r>
      <w:r w:rsidR="007A184F" w:rsidRPr="00AE0E34">
        <w:rPr>
          <w:rFonts w:ascii="Arial" w:hAnsi="Arial" w:cs="Arial"/>
          <w:sz w:val="20"/>
          <w:szCs w:val="20"/>
        </w:rPr>
        <w:t>nabavu novog kamiona za prikupljanje i odvoz komunalnog otpada</w:t>
      </w:r>
      <w:r w:rsidR="007D4132" w:rsidRPr="00AE0E34">
        <w:rPr>
          <w:rFonts w:ascii="Arial" w:hAnsi="Arial" w:cs="Arial"/>
          <w:sz w:val="20"/>
          <w:szCs w:val="20"/>
        </w:rPr>
        <w:t xml:space="preserve"> (100.000,00)</w:t>
      </w:r>
      <w:r w:rsidR="007A184F" w:rsidRPr="00AE0E34">
        <w:rPr>
          <w:rFonts w:ascii="Arial" w:hAnsi="Arial" w:cs="Arial"/>
          <w:sz w:val="20"/>
          <w:szCs w:val="20"/>
        </w:rPr>
        <w:t xml:space="preserve">, </w:t>
      </w:r>
      <w:r w:rsidR="00565F91" w:rsidRPr="00AE0E34">
        <w:rPr>
          <w:rFonts w:ascii="Arial" w:hAnsi="Arial" w:cs="Arial"/>
          <w:sz w:val="20"/>
          <w:szCs w:val="20"/>
        </w:rPr>
        <w:t>asfaltiranje ulica i putova na području općine Janjina</w:t>
      </w:r>
      <w:r w:rsidRPr="00AE0E34">
        <w:rPr>
          <w:rFonts w:ascii="Arial" w:hAnsi="Arial" w:cs="Arial"/>
          <w:sz w:val="20"/>
          <w:szCs w:val="20"/>
        </w:rPr>
        <w:t xml:space="preserve"> </w:t>
      </w:r>
      <w:r w:rsidR="007D4132" w:rsidRPr="00AE0E34">
        <w:rPr>
          <w:rFonts w:ascii="Arial" w:hAnsi="Arial" w:cs="Arial"/>
          <w:sz w:val="20"/>
          <w:szCs w:val="20"/>
        </w:rPr>
        <w:t>(113,900) – iz državnog proračuna</w:t>
      </w:r>
      <w:r w:rsidR="00AE0E34" w:rsidRPr="00AE0E34">
        <w:rPr>
          <w:rFonts w:ascii="Arial" w:hAnsi="Arial" w:cs="Arial"/>
          <w:sz w:val="20"/>
          <w:szCs w:val="20"/>
        </w:rPr>
        <w:t>.</w:t>
      </w:r>
    </w:p>
    <w:p w:rsidR="004F0A85" w:rsidRPr="00AE0E34" w:rsidRDefault="00565F91" w:rsidP="004F0A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AE0E34">
        <w:rPr>
          <w:rFonts w:ascii="Arial" w:hAnsi="Arial" w:cs="Arial"/>
          <w:sz w:val="20"/>
          <w:szCs w:val="20"/>
          <w:u w:val="single"/>
        </w:rPr>
        <w:t xml:space="preserve">634 </w:t>
      </w:r>
      <w:r w:rsidR="00D97C89" w:rsidRPr="00AE0E34">
        <w:rPr>
          <w:rFonts w:ascii="Arial" w:hAnsi="Arial" w:cs="Arial"/>
          <w:sz w:val="20"/>
          <w:szCs w:val="20"/>
          <w:u w:val="single"/>
        </w:rPr>
        <w:t xml:space="preserve"> </w:t>
      </w:r>
      <w:r w:rsidR="00AE0E34" w:rsidRPr="00AE0E34">
        <w:rPr>
          <w:rFonts w:ascii="Arial" w:hAnsi="Arial" w:cs="Arial"/>
          <w:sz w:val="20"/>
          <w:szCs w:val="20"/>
          <w:u w:val="single"/>
        </w:rPr>
        <w:t xml:space="preserve">Pomoći od izvanproračunskih korisnika </w:t>
      </w:r>
      <w:r w:rsidR="00AE0E34" w:rsidRPr="00AE0E34">
        <w:rPr>
          <w:rFonts w:ascii="Arial" w:hAnsi="Arial" w:cs="Arial"/>
          <w:sz w:val="20"/>
          <w:szCs w:val="20"/>
        </w:rPr>
        <w:t xml:space="preserve">- </w:t>
      </w:r>
      <w:r w:rsidR="00D97C89" w:rsidRPr="00AE0E34">
        <w:rPr>
          <w:rFonts w:ascii="Arial" w:hAnsi="Arial" w:cs="Arial"/>
          <w:sz w:val="20"/>
          <w:szCs w:val="20"/>
        </w:rPr>
        <w:t xml:space="preserve">Tekuće pomoći od HZZZ za </w:t>
      </w:r>
      <w:r w:rsidR="008E6B33" w:rsidRPr="00AE0E34">
        <w:rPr>
          <w:rFonts w:ascii="Arial" w:hAnsi="Arial" w:cs="Arial"/>
          <w:sz w:val="20"/>
          <w:szCs w:val="20"/>
        </w:rPr>
        <w:t xml:space="preserve">provedbu projekta </w:t>
      </w:r>
      <w:r w:rsidR="00AE0E34" w:rsidRPr="00AE0E34">
        <w:rPr>
          <w:rFonts w:ascii="Arial" w:hAnsi="Arial" w:cs="Arial"/>
          <w:sz w:val="20"/>
          <w:szCs w:val="20"/>
        </w:rPr>
        <w:t>JAVNI RADOVI</w:t>
      </w:r>
      <w:r w:rsidR="00D97C89" w:rsidRPr="00AE0E34">
        <w:rPr>
          <w:rFonts w:ascii="Arial" w:hAnsi="Arial" w:cs="Arial"/>
          <w:sz w:val="20"/>
          <w:szCs w:val="20"/>
        </w:rPr>
        <w:t xml:space="preserve"> po mjerama </w:t>
      </w:r>
      <w:proofErr w:type="spellStart"/>
      <w:r w:rsidR="00D97C89" w:rsidRPr="00AE0E34">
        <w:rPr>
          <w:rFonts w:ascii="Arial" w:hAnsi="Arial" w:cs="Arial"/>
          <w:sz w:val="20"/>
          <w:szCs w:val="20"/>
        </w:rPr>
        <w:t>HZZZa</w:t>
      </w:r>
      <w:proofErr w:type="spellEnd"/>
      <w:r w:rsidR="00D97C89" w:rsidRPr="00AE0E34">
        <w:rPr>
          <w:rFonts w:ascii="Arial" w:hAnsi="Arial" w:cs="Arial"/>
          <w:sz w:val="20"/>
          <w:szCs w:val="20"/>
        </w:rPr>
        <w:t xml:space="preserve"> </w:t>
      </w:r>
      <w:r w:rsidR="008E6B33" w:rsidRPr="00AE0E34">
        <w:rPr>
          <w:rFonts w:ascii="Arial" w:hAnsi="Arial" w:cs="Arial"/>
          <w:sz w:val="20"/>
          <w:szCs w:val="20"/>
        </w:rPr>
        <w:t>3.000</w:t>
      </w:r>
      <w:r w:rsidR="00D97C89" w:rsidRPr="00AE0E34">
        <w:rPr>
          <w:rFonts w:ascii="Arial" w:hAnsi="Arial" w:cs="Arial"/>
          <w:sz w:val="20"/>
          <w:szCs w:val="20"/>
        </w:rPr>
        <w:t>,00 EUR i k</w:t>
      </w:r>
      <w:r w:rsidR="004F0A85" w:rsidRPr="00AE0E34">
        <w:rPr>
          <w:rFonts w:ascii="Arial" w:hAnsi="Arial" w:cs="Arial"/>
          <w:sz w:val="20"/>
          <w:szCs w:val="20"/>
        </w:rPr>
        <w:t xml:space="preserve">apitalne pomoći </w:t>
      </w:r>
      <w:r w:rsidR="00466556" w:rsidRPr="00AE0E34">
        <w:rPr>
          <w:rFonts w:ascii="Arial" w:hAnsi="Arial" w:cs="Arial"/>
          <w:sz w:val="20"/>
          <w:szCs w:val="20"/>
        </w:rPr>
        <w:t>20.000,00</w:t>
      </w:r>
      <w:r w:rsidR="004F0A85" w:rsidRPr="00AE0E34">
        <w:rPr>
          <w:rFonts w:ascii="Arial" w:hAnsi="Arial" w:cs="Arial"/>
          <w:sz w:val="20"/>
          <w:szCs w:val="20"/>
        </w:rPr>
        <w:t xml:space="preserve"> EUR. (Fond za zaštitu okoliša u energetske učinkovitosti-</w:t>
      </w:r>
      <w:r w:rsidR="00AE0E34" w:rsidRPr="00AE0E34">
        <w:rPr>
          <w:rFonts w:ascii="Arial" w:hAnsi="Arial" w:cs="Arial"/>
          <w:sz w:val="20"/>
          <w:szCs w:val="20"/>
        </w:rPr>
        <w:t>za javnu rasvjetu</w:t>
      </w:r>
      <w:r w:rsidR="00AE0E34">
        <w:rPr>
          <w:rFonts w:ascii="Arial" w:hAnsi="Arial" w:cs="Arial"/>
          <w:sz w:val="20"/>
          <w:szCs w:val="20"/>
        </w:rPr>
        <w:t>.</w:t>
      </w:r>
    </w:p>
    <w:p w:rsidR="00AE0E34" w:rsidRPr="00AE0E34" w:rsidRDefault="00AE0E34" w:rsidP="00AE0E34">
      <w:pPr>
        <w:pStyle w:val="ListParagraph"/>
        <w:ind w:left="1069"/>
        <w:jc w:val="both"/>
        <w:rPr>
          <w:rFonts w:ascii="Arial" w:hAnsi="Arial" w:cs="Arial"/>
          <w:sz w:val="20"/>
          <w:szCs w:val="20"/>
          <w:u w:val="single"/>
        </w:rPr>
      </w:pPr>
    </w:p>
    <w:p w:rsidR="00466556" w:rsidRPr="00AE0E34" w:rsidRDefault="00466556" w:rsidP="004F0A8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E0E34">
        <w:rPr>
          <w:rFonts w:ascii="Arial" w:hAnsi="Arial" w:cs="Arial"/>
          <w:sz w:val="20"/>
          <w:szCs w:val="20"/>
          <w:u w:val="single"/>
        </w:rPr>
        <w:lastRenderedPageBreak/>
        <w:t xml:space="preserve">638 Pomoći iz državnog proračuna temeljem prijenosa EU sredstava </w:t>
      </w:r>
      <w:r w:rsidR="00AE0E34" w:rsidRPr="00AE0E34">
        <w:rPr>
          <w:rFonts w:ascii="Arial" w:hAnsi="Arial" w:cs="Arial"/>
          <w:sz w:val="20"/>
          <w:szCs w:val="20"/>
          <w:u w:val="single"/>
        </w:rPr>
        <w:t xml:space="preserve"> </w:t>
      </w:r>
      <w:r w:rsidR="00AE0E34" w:rsidRPr="00AE0E34">
        <w:rPr>
          <w:rFonts w:ascii="Arial" w:hAnsi="Arial" w:cs="Arial"/>
          <w:sz w:val="20"/>
          <w:szCs w:val="20"/>
        </w:rPr>
        <w:t>- 25.000,00 za provedbu projekta ZAŽELI i 500.000,00 za projekt izgradnje Centra Drača</w:t>
      </w:r>
    </w:p>
    <w:p w:rsidR="00565F91" w:rsidRPr="00A56490" w:rsidRDefault="00565F91" w:rsidP="00D97C89">
      <w:pPr>
        <w:pStyle w:val="ListParagraph"/>
        <w:ind w:left="1068"/>
        <w:jc w:val="both"/>
        <w:rPr>
          <w:rFonts w:ascii="Arial" w:hAnsi="Arial" w:cs="Arial"/>
          <w:sz w:val="20"/>
          <w:szCs w:val="20"/>
          <w:u w:val="single"/>
        </w:rPr>
      </w:pPr>
    </w:p>
    <w:p w:rsidR="004F0A85" w:rsidRDefault="004F0A85" w:rsidP="004F0A85">
      <w:pPr>
        <w:jc w:val="both"/>
        <w:rPr>
          <w:rFonts w:ascii="Arial" w:hAnsi="Arial" w:cs="Arial"/>
          <w:sz w:val="20"/>
          <w:szCs w:val="20"/>
        </w:rPr>
      </w:pPr>
    </w:p>
    <w:p w:rsidR="004F0A85" w:rsidRDefault="004F0A85" w:rsidP="004F0A8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F0A85" w:rsidRDefault="004F0A85" w:rsidP="004F0A85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64</w:t>
      </w:r>
      <w:r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8E6B33">
        <w:rPr>
          <w:rFonts w:ascii="Arial" w:hAnsi="Arial" w:cs="Arial"/>
          <w:sz w:val="20"/>
          <w:szCs w:val="20"/>
        </w:rPr>
        <w:t>23.050</w:t>
      </w:r>
      <w:r>
        <w:rPr>
          <w:rFonts w:ascii="Arial" w:hAnsi="Arial" w:cs="Arial"/>
          <w:sz w:val="20"/>
          <w:szCs w:val="20"/>
        </w:rPr>
        <w:t xml:space="preserve">,00,00 EUR. Odnose se na </w:t>
      </w:r>
      <w:r w:rsidR="006B7C46">
        <w:rPr>
          <w:rFonts w:ascii="Arial" w:hAnsi="Arial" w:cs="Arial"/>
          <w:sz w:val="20"/>
          <w:szCs w:val="20"/>
        </w:rPr>
        <w:t>kamate na depozite po viđenju,</w:t>
      </w:r>
      <w:r w:rsidR="008E6B33">
        <w:rPr>
          <w:rFonts w:ascii="Arial" w:hAnsi="Arial" w:cs="Arial"/>
          <w:sz w:val="20"/>
          <w:szCs w:val="20"/>
        </w:rPr>
        <w:t xml:space="preserve"> </w:t>
      </w:r>
      <w:r w:rsidR="006B7C46">
        <w:rPr>
          <w:rFonts w:ascii="Arial" w:hAnsi="Arial" w:cs="Arial"/>
          <w:sz w:val="20"/>
          <w:szCs w:val="20"/>
        </w:rPr>
        <w:t xml:space="preserve">naknade za koncesije </w:t>
      </w:r>
      <w:r w:rsidR="008E6B33">
        <w:rPr>
          <w:rFonts w:ascii="Arial" w:hAnsi="Arial" w:cs="Arial"/>
          <w:sz w:val="20"/>
          <w:szCs w:val="20"/>
        </w:rPr>
        <w:t>1.000</w:t>
      </w:r>
      <w:r w:rsidR="006B7C46">
        <w:rPr>
          <w:rFonts w:ascii="Arial" w:hAnsi="Arial" w:cs="Arial"/>
          <w:sz w:val="20"/>
          <w:szCs w:val="20"/>
        </w:rPr>
        <w:t xml:space="preserve">,00 EUR,  </w:t>
      </w:r>
      <w:r>
        <w:rPr>
          <w:rFonts w:ascii="Arial" w:hAnsi="Arial" w:cs="Arial"/>
          <w:sz w:val="20"/>
          <w:szCs w:val="20"/>
        </w:rPr>
        <w:t xml:space="preserve">prihode od zakupa </w:t>
      </w:r>
      <w:r w:rsidR="006B7C46">
        <w:rPr>
          <w:rFonts w:ascii="Arial" w:hAnsi="Arial" w:cs="Arial"/>
          <w:sz w:val="20"/>
          <w:szCs w:val="20"/>
        </w:rPr>
        <w:t xml:space="preserve">poslovnih objekata </w:t>
      </w:r>
      <w:r w:rsidR="008E6B33">
        <w:rPr>
          <w:rFonts w:ascii="Arial" w:hAnsi="Arial" w:cs="Arial"/>
          <w:sz w:val="20"/>
          <w:szCs w:val="20"/>
        </w:rPr>
        <w:t>10.000</w:t>
      </w:r>
      <w:r w:rsidR="006B7C46">
        <w:rPr>
          <w:rFonts w:ascii="Arial" w:hAnsi="Arial" w:cs="Arial"/>
          <w:sz w:val="20"/>
          <w:szCs w:val="20"/>
        </w:rPr>
        <w:t>,00 EUR, ostale naknade</w:t>
      </w:r>
      <w:r w:rsidR="00A27BB0">
        <w:rPr>
          <w:rFonts w:ascii="Arial" w:hAnsi="Arial" w:cs="Arial"/>
          <w:sz w:val="20"/>
          <w:szCs w:val="20"/>
        </w:rPr>
        <w:t xml:space="preserve"> </w:t>
      </w:r>
      <w:r w:rsidR="006B7C46">
        <w:rPr>
          <w:rFonts w:ascii="Arial" w:hAnsi="Arial" w:cs="Arial"/>
          <w:sz w:val="20"/>
          <w:szCs w:val="20"/>
        </w:rPr>
        <w:t xml:space="preserve">za korištenje nefinancijske imovine 11.940,00 EUR (HAKOM) te ostale prihode od nefinancijske imovine </w:t>
      </w:r>
      <w:r w:rsidR="008E6B33">
        <w:rPr>
          <w:rFonts w:ascii="Arial" w:hAnsi="Arial" w:cs="Arial"/>
          <w:sz w:val="20"/>
          <w:szCs w:val="20"/>
        </w:rPr>
        <w:t>100,00</w:t>
      </w:r>
      <w:r w:rsidR="006B7C46">
        <w:rPr>
          <w:rFonts w:ascii="Arial" w:hAnsi="Arial" w:cs="Arial"/>
          <w:sz w:val="20"/>
          <w:szCs w:val="20"/>
        </w:rPr>
        <w:t>EUR (legalizacija).</w:t>
      </w:r>
    </w:p>
    <w:p w:rsidR="009870DD" w:rsidRDefault="009870DD"/>
    <w:p w:rsidR="004511F3" w:rsidRDefault="004511F3" w:rsidP="004511F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65</w:t>
      </w:r>
      <w:r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B02E53">
        <w:rPr>
          <w:rFonts w:ascii="Arial" w:hAnsi="Arial" w:cs="Arial"/>
          <w:sz w:val="20"/>
          <w:szCs w:val="20"/>
        </w:rPr>
        <w:t>100.960</w:t>
      </w:r>
      <w:r>
        <w:rPr>
          <w:rFonts w:ascii="Arial" w:hAnsi="Arial" w:cs="Arial"/>
          <w:sz w:val="20"/>
          <w:szCs w:val="20"/>
        </w:rPr>
        <w:t>,00 EUR. Jedan dio ovih prihoda su prihodi od komunalne naknade (</w:t>
      </w:r>
      <w:r w:rsidR="00B02E53">
        <w:rPr>
          <w:rFonts w:ascii="Arial" w:hAnsi="Arial" w:cs="Arial"/>
          <w:sz w:val="20"/>
          <w:szCs w:val="20"/>
        </w:rPr>
        <w:t>30.000</w:t>
      </w:r>
      <w:r>
        <w:rPr>
          <w:rFonts w:ascii="Arial" w:hAnsi="Arial" w:cs="Arial"/>
          <w:sz w:val="20"/>
          <w:szCs w:val="20"/>
        </w:rPr>
        <w:t>,00 EUR) i komunalnog doprinosa (</w:t>
      </w:r>
      <w:r w:rsidR="00B02E53">
        <w:rPr>
          <w:rFonts w:ascii="Arial" w:hAnsi="Arial" w:cs="Arial"/>
          <w:sz w:val="20"/>
          <w:szCs w:val="20"/>
        </w:rPr>
        <w:t>5</w:t>
      </w:r>
      <w:r w:rsidR="008E6B33">
        <w:rPr>
          <w:rFonts w:ascii="Arial" w:hAnsi="Arial" w:cs="Arial"/>
          <w:sz w:val="20"/>
          <w:szCs w:val="20"/>
        </w:rPr>
        <w:t>0.000</w:t>
      </w:r>
      <w:r>
        <w:rPr>
          <w:rFonts w:ascii="Arial" w:hAnsi="Arial" w:cs="Arial"/>
          <w:sz w:val="20"/>
          <w:szCs w:val="20"/>
        </w:rPr>
        <w:t xml:space="preserve">,00 EUR).Prihod od turističkih i upravnih pristojbi planira se u iznosu od </w:t>
      </w:r>
      <w:r w:rsidR="00B02E53">
        <w:rPr>
          <w:rFonts w:ascii="Arial" w:hAnsi="Arial" w:cs="Arial"/>
          <w:sz w:val="20"/>
          <w:szCs w:val="20"/>
        </w:rPr>
        <w:t>20.250</w:t>
      </w:r>
      <w:r>
        <w:rPr>
          <w:rFonts w:ascii="Arial" w:hAnsi="Arial" w:cs="Arial"/>
          <w:sz w:val="20"/>
          <w:szCs w:val="20"/>
        </w:rPr>
        <w:t xml:space="preserve">,00 EUR  </w:t>
      </w:r>
    </w:p>
    <w:p w:rsidR="004511F3" w:rsidRDefault="004511F3" w:rsidP="004511F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511F3" w:rsidRPr="004511F3" w:rsidRDefault="004511F3" w:rsidP="00544E01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66 - </w:t>
      </w:r>
      <w:r w:rsidRPr="004511F3">
        <w:rPr>
          <w:rFonts w:ascii="Arial" w:hAnsi="Arial" w:cs="Arial"/>
          <w:sz w:val="20"/>
          <w:szCs w:val="20"/>
        </w:rPr>
        <w:t>Prihodi od prodaje proizvoda i robe te pruženih usluga i prihodi od donacija</w:t>
      </w:r>
      <w:r>
        <w:rPr>
          <w:rFonts w:ascii="Arial" w:hAnsi="Arial" w:cs="Arial"/>
          <w:sz w:val="20"/>
          <w:szCs w:val="20"/>
        </w:rPr>
        <w:t xml:space="preserve"> – </w:t>
      </w:r>
      <w:r w:rsidR="00B02E53">
        <w:rPr>
          <w:rFonts w:ascii="Arial" w:hAnsi="Arial" w:cs="Arial"/>
          <w:sz w:val="20"/>
          <w:szCs w:val="20"/>
        </w:rPr>
        <w:t>115.000</w:t>
      </w:r>
      <w:r>
        <w:rPr>
          <w:rFonts w:ascii="Arial" w:hAnsi="Arial" w:cs="Arial"/>
          <w:sz w:val="20"/>
          <w:szCs w:val="20"/>
        </w:rPr>
        <w:t>,00 EUR odnosi se na prihod od pruženih usluga za prikupljanje i odvoz komunalnog otpada</w:t>
      </w:r>
      <w:r w:rsidR="00B02E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44E01" w:rsidRDefault="00544E01" w:rsidP="004511F3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4511F3" w:rsidRDefault="004511F3" w:rsidP="004511F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68 </w:t>
      </w:r>
      <w:r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8E6B33">
        <w:rPr>
          <w:rFonts w:ascii="Arial" w:hAnsi="Arial" w:cs="Arial"/>
          <w:sz w:val="20"/>
          <w:szCs w:val="20"/>
        </w:rPr>
        <w:t>1.000</w:t>
      </w:r>
      <w:r>
        <w:rPr>
          <w:rFonts w:ascii="Arial" w:hAnsi="Arial" w:cs="Arial"/>
          <w:sz w:val="20"/>
          <w:szCs w:val="20"/>
        </w:rPr>
        <w:t>,00 EUR.</w:t>
      </w:r>
    </w:p>
    <w:p w:rsidR="004511F3" w:rsidRDefault="004511F3" w:rsidP="004511F3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4511F3" w:rsidRDefault="004511F3" w:rsidP="004511F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72</w:t>
      </w:r>
      <w:r>
        <w:rPr>
          <w:rFonts w:ascii="Arial" w:hAnsi="Arial" w:cs="Arial"/>
          <w:sz w:val="20"/>
          <w:szCs w:val="20"/>
        </w:rPr>
        <w:t xml:space="preserve"> - Prihodi od prodaje nefinancijske imovine planiraju se u iznosu od </w:t>
      </w:r>
      <w:r w:rsidR="008E6B33">
        <w:rPr>
          <w:rFonts w:ascii="Arial" w:hAnsi="Arial" w:cs="Arial"/>
          <w:sz w:val="20"/>
          <w:szCs w:val="20"/>
        </w:rPr>
        <w:t>60.</w:t>
      </w:r>
      <w:r w:rsidR="00B02E53">
        <w:rPr>
          <w:rFonts w:ascii="Arial" w:hAnsi="Arial" w:cs="Arial"/>
          <w:sz w:val="20"/>
          <w:szCs w:val="20"/>
        </w:rPr>
        <w:t>5</w:t>
      </w:r>
      <w:r w:rsidR="008E6B33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EUR. </w:t>
      </w:r>
    </w:p>
    <w:p w:rsidR="004511F3" w:rsidRDefault="004511F3" w:rsidP="004511F3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4511F3" w:rsidRDefault="004511F3" w:rsidP="004511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84</w:t>
      </w:r>
      <w:r>
        <w:rPr>
          <w:rFonts w:ascii="Arial" w:hAnsi="Arial" w:cs="Arial"/>
          <w:sz w:val="20"/>
          <w:szCs w:val="20"/>
        </w:rPr>
        <w:t xml:space="preserve">– Primici od financijske imovine i zaduživanja planiraju se u iznosu od </w:t>
      </w:r>
      <w:r w:rsidR="008E6B33">
        <w:rPr>
          <w:rFonts w:ascii="Arial" w:hAnsi="Arial" w:cs="Arial"/>
          <w:sz w:val="20"/>
          <w:szCs w:val="20"/>
        </w:rPr>
        <w:t>1</w:t>
      </w:r>
      <w:r w:rsidR="00B02E53">
        <w:rPr>
          <w:rFonts w:ascii="Arial" w:hAnsi="Arial" w:cs="Arial"/>
          <w:sz w:val="20"/>
          <w:szCs w:val="20"/>
        </w:rPr>
        <w:t>5</w:t>
      </w:r>
      <w:r w:rsidR="008E6B33">
        <w:rPr>
          <w:rFonts w:ascii="Arial" w:hAnsi="Arial" w:cs="Arial"/>
          <w:sz w:val="20"/>
          <w:szCs w:val="20"/>
        </w:rPr>
        <w:t>0.000</w:t>
      </w:r>
      <w:r>
        <w:rPr>
          <w:rFonts w:ascii="Arial" w:hAnsi="Arial" w:cs="Arial"/>
          <w:sz w:val="20"/>
          <w:szCs w:val="20"/>
        </w:rPr>
        <w:t>,00 EUR.</w:t>
      </w:r>
    </w:p>
    <w:p w:rsidR="004511F3" w:rsidRDefault="004511F3" w:rsidP="004511F3">
      <w:pPr>
        <w:jc w:val="both"/>
        <w:rPr>
          <w:rFonts w:ascii="Arial" w:hAnsi="Arial" w:cs="Arial"/>
          <w:sz w:val="20"/>
          <w:szCs w:val="20"/>
        </w:rPr>
      </w:pPr>
    </w:p>
    <w:p w:rsidR="003F2A51" w:rsidRDefault="003F2A51" w:rsidP="004511F3">
      <w:pPr>
        <w:jc w:val="both"/>
        <w:rPr>
          <w:rFonts w:ascii="Arial" w:hAnsi="Arial" w:cs="Arial"/>
          <w:sz w:val="20"/>
          <w:szCs w:val="20"/>
        </w:rPr>
      </w:pPr>
    </w:p>
    <w:p w:rsidR="003F2A51" w:rsidRPr="003F2A51" w:rsidRDefault="003F2A51" w:rsidP="003F2A51">
      <w:pPr>
        <w:pStyle w:val="Heading2"/>
        <w:rPr>
          <w:rFonts w:ascii="Arial" w:hAnsi="Arial" w:cs="Arial"/>
          <w:b/>
          <w:color w:val="auto"/>
          <w:sz w:val="28"/>
          <w:szCs w:val="28"/>
          <w:u w:val="single"/>
        </w:rPr>
      </w:pPr>
      <w:bookmarkStart w:id="7" w:name="_Toc90259047"/>
      <w:r w:rsidRPr="003F2A51">
        <w:rPr>
          <w:rFonts w:ascii="Arial" w:hAnsi="Arial" w:cs="Arial"/>
          <w:b/>
          <w:color w:val="auto"/>
          <w:sz w:val="28"/>
          <w:szCs w:val="28"/>
          <w:u w:val="single"/>
        </w:rPr>
        <w:t>B. RASHODI I IZDACI</w:t>
      </w:r>
      <w:bookmarkEnd w:id="7"/>
    </w:p>
    <w:p w:rsidR="003F2A51" w:rsidRDefault="003F2A51" w:rsidP="003F2A51">
      <w:pPr>
        <w:pStyle w:val="BodyText"/>
        <w:spacing w:after="0"/>
      </w:pPr>
    </w:p>
    <w:p w:rsidR="003F2A51" w:rsidRDefault="003F2A51" w:rsidP="003F2A51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Prijedlogom Proračuna Općine Janjina za 202</w:t>
      </w:r>
      <w:r w:rsidR="00B02E5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planiraju se rashodi i izdaci u iznosu od </w:t>
      </w:r>
      <w:r w:rsidR="00B02E53">
        <w:rPr>
          <w:rFonts w:ascii="Arial" w:hAnsi="Arial" w:cs="Arial"/>
          <w:sz w:val="20"/>
          <w:szCs w:val="20"/>
        </w:rPr>
        <w:t>2.045.600</w:t>
      </w:r>
      <w:r w:rsidR="00953D31" w:rsidRPr="008557D3">
        <w:rPr>
          <w:rFonts w:ascii="Arial" w:hAnsi="Arial" w:cs="Arial"/>
          <w:sz w:val="20"/>
          <w:szCs w:val="20"/>
        </w:rPr>
        <w:t>,00</w:t>
      </w:r>
      <w:r w:rsidR="00953D31">
        <w:rPr>
          <w:rFonts w:ascii="Arial" w:hAnsi="Arial" w:cs="Arial"/>
          <w:sz w:val="20"/>
          <w:szCs w:val="20"/>
        </w:rPr>
        <w:t xml:space="preserve"> </w:t>
      </w:r>
      <w:r w:rsidR="00953D31" w:rsidRPr="00B354C6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F2A51" w:rsidRDefault="003F2A51" w:rsidP="003F2A51">
      <w:pPr>
        <w:pStyle w:val="BodyText"/>
        <w:jc w:val="both"/>
        <w:rPr>
          <w:rFonts w:ascii="Arial" w:hAnsi="Arial" w:cs="Arial"/>
          <w:bCs/>
          <w:sz w:val="20"/>
          <w:szCs w:val="20"/>
        </w:rPr>
      </w:pPr>
    </w:p>
    <w:p w:rsidR="003F2A51" w:rsidRDefault="003F2A51" w:rsidP="003F2A5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Tablica 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Planirani rashodi i izdaci Proračuna Općine Janjina za 202</w:t>
      </w:r>
      <w:r w:rsidR="00953D31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22"/>
        <w:tblW w:w="11223" w:type="dxa"/>
        <w:tblLook w:val="04A0" w:firstRow="1" w:lastRow="0" w:firstColumn="1" w:lastColumn="0" w:noHBand="0" w:noVBand="1"/>
      </w:tblPr>
      <w:tblGrid>
        <w:gridCol w:w="942"/>
        <w:gridCol w:w="5124"/>
        <w:gridCol w:w="1478"/>
        <w:gridCol w:w="1478"/>
        <w:gridCol w:w="874"/>
        <w:gridCol w:w="1327"/>
      </w:tblGrid>
      <w:tr w:rsidR="003F2A51" w:rsidRPr="005976D6" w:rsidTr="001C1104">
        <w:trPr>
          <w:trHeight w:val="601"/>
        </w:trPr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BROJ KONTA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A51" w:rsidRPr="005976D6" w:rsidRDefault="003F2A51" w:rsidP="00000D7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VRSTA RASHODA/IZDATKA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A51" w:rsidRPr="005976D6" w:rsidRDefault="003F2A51" w:rsidP="00000D7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A51" w:rsidRPr="005976D6" w:rsidRDefault="003F2A51" w:rsidP="00953D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PLAN 202</w:t>
            </w:r>
            <w:r w:rsidR="00953D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2A51" w:rsidRPr="005976D6" w:rsidRDefault="003F2A51" w:rsidP="00000D7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A51" w:rsidRPr="005976D6" w:rsidRDefault="003F2A51" w:rsidP="00000D7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1C1104">
        <w:trPr>
          <w:trHeight w:val="290"/>
        </w:trPr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UKUPNO RASHODI/IZDACI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3F2A51" w:rsidRPr="005976D6" w:rsidRDefault="00953D3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8557D3">
              <w:rPr>
                <w:rFonts w:ascii="Arial" w:hAnsi="Arial" w:cs="Arial"/>
                <w:sz w:val="20"/>
                <w:szCs w:val="20"/>
              </w:rPr>
              <w:t>1.378.510,00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</w:tr>
      <w:tr w:rsidR="003F2A51" w:rsidRPr="005976D6" w:rsidTr="001C1104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Rashodi poslovanja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AE0E3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683.530</w:t>
            </w:r>
            <w:r w:rsidR="003F2A5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</w:tr>
      <w:tr w:rsidR="003F2A51" w:rsidRPr="005976D6" w:rsidTr="001C1104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Rashodi za zaposlene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AE0E34" w:rsidP="00953D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177.15</w:t>
            </w:r>
            <w:r w:rsidR="00953D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</w:t>
            </w:r>
            <w:r w:rsidR="003F2A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1C1104">
        <w:trPr>
          <w:trHeight w:val="313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Materijalni rashodi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AE0E3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322.430</w:t>
            </w:r>
            <w:r w:rsidR="003F2A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Financijski rashodi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AE0E3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13.850</w:t>
            </w:r>
            <w:r w:rsidR="003F2A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1C1104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104" w:rsidRPr="005976D6" w:rsidRDefault="001C1104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1104" w:rsidRPr="005976D6" w:rsidRDefault="001C1104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Subvencije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104" w:rsidRPr="005976D6" w:rsidRDefault="001C110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104" w:rsidRDefault="00AE0E3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4.600</w:t>
            </w:r>
            <w:r w:rsidR="001C110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104" w:rsidRPr="005976D6" w:rsidRDefault="001C110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1104" w:rsidRPr="005976D6" w:rsidRDefault="001C110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Pomoći dane u inozemstvo i unutar općeg proračuna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AE0E3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46.000</w:t>
            </w:r>
            <w:r w:rsidR="003F2A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953D3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28.000</w:t>
            </w:r>
            <w:r w:rsidR="003F2A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6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38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Ostali rashodi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AE0E3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91.500</w:t>
            </w:r>
            <w:r w:rsidR="003F2A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Rashodi za nabavu nefinancijske imovine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AE0E34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1.302.070</w:t>
            </w:r>
            <w:r w:rsidR="003F2A5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</w:tr>
      <w:tr w:rsidR="003F2A51" w:rsidRPr="005976D6" w:rsidTr="00A27BB0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2A51" w:rsidRPr="005976D6" w:rsidRDefault="00A27BB0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 xml:space="preserve">41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2A51" w:rsidRPr="005976D6" w:rsidRDefault="00A27BB0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A27BB0"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 xml:space="preserve">Rashodi za nabavu </w:t>
            </w:r>
            <w:proofErr w:type="spellStart"/>
            <w:r w:rsidRPr="00A27BB0"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>neproizvedene</w:t>
            </w:r>
            <w:proofErr w:type="spellEnd"/>
            <w:r w:rsidRPr="00A27BB0"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 xml:space="preserve"> dugotrajne imovine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AE0E34" w:rsidP="0020645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A27BB0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BB0" w:rsidRDefault="00A27BB0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lastRenderedPageBreak/>
              <w:t>42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7BB0" w:rsidRPr="005976D6" w:rsidRDefault="00A27BB0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A27B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Rashodi za nabavu proizvedene dugotrajne imovin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BB0" w:rsidRPr="005976D6" w:rsidRDefault="00A27BB0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BB0" w:rsidRDefault="00AE0E34" w:rsidP="0020645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1.302.070</w:t>
            </w:r>
            <w:r w:rsidR="00A27B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BB0" w:rsidRPr="005976D6" w:rsidRDefault="00A27BB0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7BB0" w:rsidRPr="005976D6" w:rsidRDefault="00A27BB0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  <w:tr w:rsidR="003F2A51" w:rsidRPr="005976D6" w:rsidTr="00A27BB0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hr-HR" w:bidi="ar-SA"/>
              </w:rPr>
              <w:t>Izdaci za financijsku imovinu i otplate zajmova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9D2F7E" w:rsidP="00AE0E3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60.</w:t>
            </w:r>
            <w:r w:rsidR="00AE0E3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00</w:t>
            </w:r>
            <w:r w:rsidR="003F2A5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301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hr-HR" w:bidi="ar-SA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lang w:eastAsia="hr-HR" w:bidi="ar-S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lang w:eastAsia="hr-HR" w:bidi="ar-SA"/>
              </w:rPr>
            </w:pPr>
          </w:p>
        </w:tc>
      </w:tr>
      <w:tr w:rsidR="003F2A51" w:rsidRPr="005976D6" w:rsidTr="00000D72">
        <w:trPr>
          <w:trHeight w:val="286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54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 w:rsidRPr="005976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 w:bidi="ar-SA"/>
              </w:rPr>
              <w:t>Izdaci za otplatu glavnice primljenih kredita i zajmova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9D2F7E" w:rsidP="00AE0E3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>60.</w:t>
            </w:r>
            <w:r w:rsidR="00AE0E34"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>00</w:t>
            </w:r>
            <w:r w:rsidR="003F2A51"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  <w:t>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A51" w:rsidRPr="005976D6" w:rsidRDefault="003F2A51" w:rsidP="00000D7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 w:bidi="ar-SA"/>
              </w:rPr>
            </w:pPr>
          </w:p>
        </w:tc>
      </w:tr>
    </w:tbl>
    <w:p w:rsidR="003F2A51" w:rsidRDefault="003F2A51" w:rsidP="003F2A51">
      <w:pPr>
        <w:jc w:val="both"/>
        <w:rPr>
          <w:rFonts w:ascii="Arial" w:hAnsi="Arial" w:cs="Arial"/>
          <w:b/>
          <w:sz w:val="20"/>
          <w:szCs w:val="20"/>
        </w:rPr>
      </w:pPr>
    </w:p>
    <w:p w:rsidR="001C1104" w:rsidRDefault="001C1104" w:rsidP="001C1104">
      <w:pPr>
        <w:pStyle w:val="BodyText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</w:t>
      </w:r>
      <w:r w:rsidR="006F28FF">
        <w:rPr>
          <w:rFonts w:ascii="Arial" w:hAnsi="Arial" w:cs="Arial"/>
          <w:sz w:val="20"/>
          <w:szCs w:val="20"/>
        </w:rPr>
        <w:t xml:space="preserve">općini </w:t>
      </w:r>
      <w:r w:rsidR="00AB4C8C">
        <w:rPr>
          <w:rFonts w:ascii="Arial" w:hAnsi="Arial" w:cs="Arial"/>
          <w:sz w:val="20"/>
          <w:szCs w:val="20"/>
        </w:rPr>
        <w:t>J</w:t>
      </w:r>
      <w:r w:rsidR="006F28FF">
        <w:rPr>
          <w:rFonts w:ascii="Arial" w:hAnsi="Arial" w:cs="Arial"/>
          <w:sz w:val="20"/>
          <w:szCs w:val="20"/>
        </w:rPr>
        <w:t>anjina</w:t>
      </w:r>
      <w:r>
        <w:rPr>
          <w:rFonts w:ascii="Arial" w:hAnsi="Arial" w:cs="Arial"/>
          <w:sz w:val="20"/>
          <w:szCs w:val="20"/>
        </w:rPr>
        <w:t xml:space="preserve"> (</w:t>
      </w:r>
      <w:r w:rsidR="006F28FF">
        <w:rPr>
          <w:rFonts w:ascii="Arial" w:hAnsi="Arial" w:cs="Arial"/>
          <w:sz w:val="20"/>
          <w:szCs w:val="20"/>
        </w:rPr>
        <w:t>dužnosnik,</w:t>
      </w:r>
      <w:r>
        <w:rPr>
          <w:rFonts w:ascii="Arial" w:hAnsi="Arial" w:cs="Arial"/>
          <w:sz w:val="20"/>
          <w:szCs w:val="20"/>
        </w:rPr>
        <w:t xml:space="preserve"> službenici JUO</w:t>
      </w:r>
      <w:r w:rsidR="006F28FF">
        <w:rPr>
          <w:rFonts w:ascii="Arial" w:hAnsi="Arial" w:cs="Arial"/>
          <w:sz w:val="20"/>
          <w:szCs w:val="20"/>
        </w:rPr>
        <w:t xml:space="preserve"> i  namještenici</w:t>
      </w:r>
      <w:r>
        <w:rPr>
          <w:rFonts w:ascii="Arial" w:hAnsi="Arial" w:cs="Arial"/>
          <w:sz w:val="20"/>
          <w:szCs w:val="20"/>
        </w:rPr>
        <w:t xml:space="preserve">) planirani su u visini </w:t>
      </w:r>
      <w:r w:rsidR="00AE0E34">
        <w:rPr>
          <w:rFonts w:ascii="Arial" w:hAnsi="Arial" w:cs="Arial"/>
          <w:sz w:val="20"/>
          <w:szCs w:val="20"/>
        </w:rPr>
        <w:t>177.150</w:t>
      </w:r>
      <w:r>
        <w:rPr>
          <w:rFonts w:ascii="Arial" w:hAnsi="Arial" w:cs="Arial"/>
          <w:sz w:val="20"/>
          <w:szCs w:val="20"/>
        </w:rPr>
        <w:t xml:space="preserve">,00 EUR. 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Rashodi za zaposlene planirani su u bruto iznosu, uvećanom za minuli rad za 0,5% godišnje u ukupnom iznosu bruto plaća </w:t>
      </w:r>
      <w:r w:rsidR="00CB18A5">
        <w:rPr>
          <w:rFonts w:ascii="Arial" w:hAnsi="Arial" w:cs="Arial"/>
          <w:noProof/>
          <w:snapToGrid w:val="0"/>
          <w:sz w:val="20"/>
          <w:szCs w:val="20"/>
        </w:rPr>
        <w:t>139.500</w:t>
      </w:r>
      <w:r>
        <w:rPr>
          <w:rFonts w:ascii="Arial" w:hAnsi="Arial" w:cs="Arial"/>
          <w:noProof/>
          <w:snapToGrid w:val="0"/>
          <w:sz w:val="20"/>
          <w:szCs w:val="20"/>
        </w:rPr>
        <w:t>,00 EUR, doprinos</w:t>
      </w:r>
      <w:r w:rsidR="006F28FF">
        <w:rPr>
          <w:rFonts w:ascii="Arial" w:hAnsi="Arial" w:cs="Arial"/>
          <w:noProof/>
          <w:snapToGrid w:val="0"/>
          <w:sz w:val="20"/>
          <w:szCs w:val="20"/>
        </w:rPr>
        <w:t>i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na plaću u iznosu </w:t>
      </w:r>
      <w:r w:rsidR="00CB18A5">
        <w:rPr>
          <w:rFonts w:ascii="Arial" w:hAnsi="Arial" w:cs="Arial"/>
          <w:noProof/>
          <w:snapToGrid w:val="0"/>
          <w:sz w:val="20"/>
          <w:szCs w:val="20"/>
        </w:rPr>
        <w:t>24.510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,00 EUR i materijalnim pravima po </w:t>
      </w:r>
      <w:r w:rsidR="006F28FF">
        <w:rPr>
          <w:rFonts w:ascii="Arial" w:hAnsi="Arial" w:cs="Arial"/>
          <w:noProof/>
          <w:snapToGrid w:val="0"/>
          <w:sz w:val="20"/>
          <w:szCs w:val="20"/>
        </w:rPr>
        <w:t>Odluci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u iznosu </w:t>
      </w:r>
      <w:r w:rsidR="00CB18A5">
        <w:rPr>
          <w:rFonts w:ascii="Arial" w:hAnsi="Arial" w:cs="Arial"/>
          <w:noProof/>
          <w:snapToGrid w:val="0"/>
          <w:sz w:val="20"/>
          <w:szCs w:val="20"/>
        </w:rPr>
        <w:t>13.140</w:t>
      </w:r>
      <w:r>
        <w:rPr>
          <w:rFonts w:ascii="Arial" w:hAnsi="Arial" w:cs="Arial"/>
          <w:noProof/>
          <w:snapToGrid w:val="0"/>
          <w:sz w:val="20"/>
          <w:szCs w:val="20"/>
        </w:rPr>
        <w:t>,00 EUR.</w:t>
      </w:r>
    </w:p>
    <w:p w:rsidR="001C1104" w:rsidRDefault="001C1104" w:rsidP="001C1104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:rsidR="001C1104" w:rsidRDefault="001C1104" w:rsidP="001C1104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u općini planirani su u iznosu od </w:t>
      </w:r>
      <w:r w:rsidR="00CB18A5">
        <w:rPr>
          <w:rFonts w:ascii="Arial" w:hAnsi="Arial" w:cs="Arial"/>
          <w:sz w:val="20"/>
          <w:szCs w:val="20"/>
        </w:rPr>
        <w:t>322.430</w:t>
      </w:r>
      <w:r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EUR</w:t>
      </w:r>
      <w:r w:rsidR="00AB4C8C">
        <w:rPr>
          <w:rFonts w:ascii="Arial" w:hAnsi="Arial" w:cs="Arial"/>
          <w:sz w:val="20"/>
          <w:szCs w:val="20"/>
        </w:rPr>
        <w:t>,  a</w:t>
      </w:r>
      <w:r>
        <w:rPr>
          <w:rFonts w:ascii="Arial" w:hAnsi="Arial" w:cs="Arial"/>
          <w:sz w:val="20"/>
          <w:szCs w:val="20"/>
        </w:rPr>
        <w:t xml:space="preserve"> </w:t>
      </w:r>
      <w:r w:rsidR="00AB4C8C">
        <w:rPr>
          <w:rFonts w:ascii="Arial" w:hAnsi="Arial" w:cs="Arial"/>
          <w:sz w:val="20"/>
          <w:szCs w:val="20"/>
        </w:rPr>
        <w:t xml:space="preserve">najznačajniji iznosi </w:t>
      </w:r>
      <w:r>
        <w:rPr>
          <w:rFonts w:ascii="Arial" w:hAnsi="Arial" w:cs="Arial"/>
          <w:sz w:val="20"/>
          <w:szCs w:val="20"/>
        </w:rPr>
        <w:t xml:space="preserve"> odnos</w:t>
      </w:r>
      <w:r w:rsidR="00AB4C8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B4C8C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na </w:t>
      </w:r>
      <w:r w:rsidR="00AB4C8C">
        <w:rPr>
          <w:rFonts w:ascii="Arial" w:hAnsi="Arial" w:cs="Arial"/>
          <w:sz w:val="20"/>
          <w:szCs w:val="20"/>
        </w:rPr>
        <w:t xml:space="preserve">materijal i energiju </w:t>
      </w:r>
      <w:r w:rsidR="00CB18A5">
        <w:rPr>
          <w:rFonts w:ascii="Arial" w:hAnsi="Arial" w:cs="Arial"/>
          <w:sz w:val="20"/>
          <w:szCs w:val="20"/>
        </w:rPr>
        <w:t>57.800</w:t>
      </w:r>
      <w:r w:rsidR="00AB4C8C">
        <w:rPr>
          <w:rFonts w:ascii="Arial" w:hAnsi="Arial" w:cs="Arial"/>
          <w:sz w:val="20"/>
          <w:szCs w:val="20"/>
        </w:rPr>
        <w:t xml:space="preserve">,00 EUR, rashodi za usluge </w:t>
      </w:r>
      <w:r w:rsidR="00CB18A5">
        <w:rPr>
          <w:rFonts w:ascii="Arial" w:hAnsi="Arial" w:cs="Arial"/>
          <w:sz w:val="20"/>
          <w:szCs w:val="20"/>
        </w:rPr>
        <w:t>229.510</w:t>
      </w:r>
      <w:r w:rsidR="00AB4C8C">
        <w:rPr>
          <w:rFonts w:ascii="Arial" w:hAnsi="Arial" w:cs="Arial"/>
          <w:sz w:val="20"/>
          <w:szCs w:val="20"/>
        </w:rPr>
        <w:t xml:space="preserve">,00 EUR te ostali nespomenuti rashodi </w:t>
      </w:r>
      <w:r w:rsidR="00CB18A5">
        <w:rPr>
          <w:rFonts w:ascii="Arial" w:hAnsi="Arial" w:cs="Arial"/>
          <w:sz w:val="20"/>
          <w:szCs w:val="20"/>
        </w:rPr>
        <w:t>23.990</w:t>
      </w:r>
      <w:r w:rsidR="00AB4C8C">
        <w:rPr>
          <w:rFonts w:ascii="Arial" w:hAnsi="Arial" w:cs="Arial"/>
          <w:sz w:val="20"/>
          <w:szCs w:val="20"/>
        </w:rPr>
        <w:t>,00 EUR</w:t>
      </w:r>
      <w:r w:rsidR="00450BEF">
        <w:rPr>
          <w:rFonts w:ascii="Arial" w:hAnsi="Arial" w:cs="Arial"/>
          <w:sz w:val="20"/>
          <w:szCs w:val="20"/>
        </w:rPr>
        <w:t xml:space="preserve"> te naknade troškova zaposlenima </w:t>
      </w:r>
      <w:r w:rsidR="00CB18A5">
        <w:rPr>
          <w:rFonts w:ascii="Arial" w:hAnsi="Arial" w:cs="Arial"/>
          <w:sz w:val="20"/>
          <w:szCs w:val="20"/>
        </w:rPr>
        <w:t>11.130</w:t>
      </w:r>
      <w:r w:rsidR="00450BEF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:rsidR="00146DF5" w:rsidRDefault="001C1104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Struktura materijalnih rashoda na razini Općine </w:t>
      </w:r>
      <w:r w:rsidR="00146DF5">
        <w:rPr>
          <w:rFonts w:ascii="Arial" w:hAnsi="Arial" w:cs="Arial"/>
          <w:sz w:val="20"/>
          <w:szCs w:val="20"/>
        </w:rPr>
        <w:t>Janjina</w:t>
      </w:r>
      <w:r>
        <w:rPr>
          <w:rFonts w:ascii="Arial" w:hAnsi="Arial" w:cs="Arial"/>
          <w:sz w:val="20"/>
          <w:szCs w:val="20"/>
        </w:rPr>
        <w:t xml:space="preserve"> sastoji se od naknada troškova zaposlenima: naknade za prijevoz, dnevnic</w:t>
      </w:r>
      <w:r w:rsidR="00146D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seminara, rashoda za materijal i energiju: uredski materijal, el</w:t>
      </w:r>
      <w:r w:rsidR="00146DF5">
        <w:rPr>
          <w:rFonts w:ascii="Arial" w:hAnsi="Arial" w:cs="Arial"/>
          <w:sz w:val="20"/>
          <w:szCs w:val="20"/>
        </w:rPr>
        <w:t xml:space="preserve">ektrična energija te materijal, </w:t>
      </w:r>
      <w:r>
        <w:rPr>
          <w:rFonts w:ascii="Arial" w:hAnsi="Arial" w:cs="Arial"/>
          <w:sz w:val="20"/>
          <w:szCs w:val="20"/>
        </w:rPr>
        <w:t xml:space="preserve">rashoda za usluge: </w:t>
      </w:r>
      <w:r w:rsidR="00146DF5">
        <w:rPr>
          <w:rFonts w:ascii="Arial" w:hAnsi="Arial" w:cs="Arial"/>
          <w:sz w:val="20"/>
          <w:szCs w:val="20"/>
        </w:rPr>
        <w:t>telefon, poštarina, tekuće održavanje građevinskih objekata, prijevoznih sredstava,</w:t>
      </w:r>
      <w:r>
        <w:rPr>
          <w:rFonts w:ascii="Arial" w:hAnsi="Arial" w:cs="Arial"/>
          <w:sz w:val="20"/>
          <w:szCs w:val="20"/>
        </w:rPr>
        <w:t xml:space="preserve"> javnih</w:t>
      </w:r>
      <w:r w:rsidR="00146DF5">
        <w:rPr>
          <w:rFonts w:ascii="Arial" w:hAnsi="Arial" w:cs="Arial"/>
          <w:sz w:val="20"/>
          <w:szCs w:val="20"/>
        </w:rPr>
        <w:t xml:space="preserve"> površina, nerazvrstanih cesta, javne rasvjete, plaža i kupališta i druge komunalne infrastrukture, nadzor nad provođenjem kapitalnih projekata i ostale usluge, reprezentacije, članarine, zakupnina i najamnina i dr. </w:t>
      </w:r>
    </w:p>
    <w:p w:rsidR="001C1104" w:rsidRDefault="001C1104" w:rsidP="001C1104">
      <w:pPr>
        <w:jc w:val="both"/>
        <w:rPr>
          <w:rFonts w:ascii="Arial" w:hAnsi="Arial" w:cs="Arial"/>
          <w:b/>
          <w:sz w:val="20"/>
          <w:szCs w:val="20"/>
        </w:rPr>
      </w:pPr>
    </w:p>
    <w:p w:rsidR="00146DF5" w:rsidRDefault="00146DF5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34</w:t>
      </w:r>
      <w:r>
        <w:rPr>
          <w:rFonts w:ascii="Arial" w:hAnsi="Arial" w:cs="Arial"/>
          <w:sz w:val="20"/>
          <w:szCs w:val="20"/>
        </w:rPr>
        <w:t xml:space="preserve"> </w:t>
      </w:r>
      <w:r w:rsidR="00CB18A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B18A5">
        <w:rPr>
          <w:rFonts w:ascii="Arial" w:hAnsi="Arial" w:cs="Arial"/>
          <w:sz w:val="20"/>
          <w:szCs w:val="20"/>
        </w:rPr>
        <w:t xml:space="preserve">kamata za primljene kredite i zajmove 10.000,00, </w:t>
      </w:r>
      <w:r w:rsidR="006A6A01">
        <w:rPr>
          <w:rFonts w:ascii="Arial" w:hAnsi="Arial" w:cs="Arial"/>
          <w:sz w:val="20"/>
          <w:szCs w:val="20"/>
        </w:rPr>
        <w:t>b</w:t>
      </w:r>
      <w:r w:rsidR="006A6A01" w:rsidRPr="006A6A01">
        <w:rPr>
          <w:rFonts w:ascii="Arial" w:hAnsi="Arial" w:cs="Arial"/>
          <w:sz w:val="20"/>
          <w:szCs w:val="20"/>
        </w:rPr>
        <w:t>ankarske usluge i usluge platnog prometa</w:t>
      </w:r>
      <w:r w:rsidR="006A6A01">
        <w:rPr>
          <w:rFonts w:ascii="Arial" w:hAnsi="Arial" w:cs="Arial"/>
          <w:sz w:val="20"/>
          <w:szCs w:val="20"/>
        </w:rPr>
        <w:t xml:space="preserve"> </w:t>
      </w:r>
      <w:r w:rsidR="00CB18A5">
        <w:rPr>
          <w:rFonts w:ascii="Arial" w:hAnsi="Arial" w:cs="Arial"/>
          <w:sz w:val="20"/>
          <w:szCs w:val="20"/>
        </w:rPr>
        <w:t>2.050</w:t>
      </w:r>
      <w:r w:rsidR="006A6A01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EUR te ostale financijske rashode u iznosu </w:t>
      </w:r>
      <w:r w:rsidR="00CB18A5">
        <w:rPr>
          <w:rFonts w:ascii="Arial" w:hAnsi="Arial" w:cs="Arial"/>
          <w:sz w:val="20"/>
          <w:szCs w:val="20"/>
        </w:rPr>
        <w:t>1.800</w:t>
      </w:r>
      <w:r>
        <w:rPr>
          <w:rFonts w:ascii="Arial" w:hAnsi="Arial" w:cs="Arial"/>
          <w:sz w:val="20"/>
          <w:szCs w:val="20"/>
        </w:rPr>
        <w:t>,00 EUR.</w:t>
      </w:r>
    </w:p>
    <w:p w:rsidR="00146DF5" w:rsidRDefault="00146DF5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</w:p>
    <w:p w:rsidR="006A6A01" w:rsidRPr="006A6A01" w:rsidRDefault="006A6A01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35 – </w:t>
      </w:r>
      <w:r w:rsidRPr="006A6A01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 xml:space="preserve">bvencije – planirane u iznosu </w:t>
      </w:r>
      <w:r w:rsidR="00CB18A5">
        <w:rPr>
          <w:rFonts w:ascii="Arial" w:hAnsi="Arial" w:cs="Arial"/>
          <w:sz w:val="20"/>
          <w:szCs w:val="20"/>
        </w:rPr>
        <w:t>4.600</w:t>
      </w:r>
      <w:r>
        <w:rPr>
          <w:rFonts w:ascii="Arial" w:hAnsi="Arial" w:cs="Arial"/>
          <w:sz w:val="20"/>
          <w:szCs w:val="20"/>
        </w:rPr>
        <w:t>,00 EUR, a odnose se na subvencioniranje najma Ljekarn</w:t>
      </w:r>
      <w:r w:rsidR="00D74DE6">
        <w:rPr>
          <w:rFonts w:ascii="Arial" w:hAnsi="Arial" w:cs="Arial"/>
          <w:sz w:val="20"/>
          <w:szCs w:val="20"/>
        </w:rPr>
        <w:t>e</w:t>
      </w:r>
      <w:r w:rsidR="00CB18A5">
        <w:rPr>
          <w:rFonts w:ascii="Arial" w:hAnsi="Arial" w:cs="Arial"/>
          <w:sz w:val="20"/>
          <w:szCs w:val="20"/>
        </w:rPr>
        <w:t xml:space="preserve"> (3.000,00) i sufinanciranje autobusne linije (1.600,00)</w:t>
      </w:r>
      <w:r>
        <w:rPr>
          <w:rFonts w:ascii="Arial" w:hAnsi="Arial" w:cs="Arial"/>
          <w:sz w:val="20"/>
          <w:szCs w:val="20"/>
        </w:rPr>
        <w:t>.</w:t>
      </w:r>
    </w:p>
    <w:p w:rsidR="006A6A01" w:rsidRDefault="006A6A01" w:rsidP="00146DF5">
      <w:pPr>
        <w:pStyle w:val="BodyTex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46DF5" w:rsidRDefault="00146DF5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 planirane su u iznosu </w:t>
      </w:r>
      <w:r w:rsidR="00CB18A5">
        <w:rPr>
          <w:rFonts w:ascii="Arial" w:hAnsi="Arial" w:cs="Arial"/>
          <w:sz w:val="20"/>
          <w:szCs w:val="20"/>
        </w:rPr>
        <w:t>46</w:t>
      </w:r>
      <w:r w:rsidR="00421591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EUR. Planirane su tekuće pomoći financiranje predškolskog obrazovanja(</w:t>
      </w:r>
      <w:r w:rsidR="00007E38">
        <w:rPr>
          <w:rFonts w:ascii="Arial" w:hAnsi="Arial" w:cs="Arial"/>
          <w:sz w:val="20"/>
          <w:szCs w:val="20"/>
        </w:rPr>
        <w:t>41</w:t>
      </w:r>
      <w:r w:rsidR="00421591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 xml:space="preserve">,00EUR) sufinanciranje potreba OŠ </w:t>
      </w:r>
      <w:r w:rsidR="00A27BB0">
        <w:rPr>
          <w:rFonts w:ascii="Arial" w:hAnsi="Arial" w:cs="Arial"/>
          <w:sz w:val="20"/>
          <w:szCs w:val="20"/>
        </w:rPr>
        <w:t>Janjina</w:t>
      </w:r>
      <w:r>
        <w:rPr>
          <w:rFonts w:ascii="Arial" w:hAnsi="Arial" w:cs="Arial"/>
          <w:sz w:val="20"/>
          <w:szCs w:val="20"/>
        </w:rPr>
        <w:t xml:space="preserve"> (</w:t>
      </w:r>
      <w:r w:rsidR="00007E38">
        <w:rPr>
          <w:rFonts w:ascii="Arial" w:hAnsi="Arial" w:cs="Arial"/>
          <w:sz w:val="20"/>
          <w:szCs w:val="20"/>
        </w:rPr>
        <w:t>5</w:t>
      </w:r>
      <w:r w:rsidR="00421591">
        <w:rPr>
          <w:rFonts w:ascii="Arial" w:hAnsi="Arial" w:cs="Arial"/>
          <w:sz w:val="20"/>
          <w:szCs w:val="20"/>
        </w:rPr>
        <w:t>.000</w:t>
      </w:r>
      <w:r w:rsidR="006A6A01">
        <w:rPr>
          <w:rFonts w:ascii="Arial" w:hAnsi="Arial" w:cs="Arial"/>
          <w:sz w:val="20"/>
          <w:szCs w:val="20"/>
        </w:rPr>
        <w:t>,00 EUR).</w:t>
      </w:r>
    </w:p>
    <w:p w:rsidR="006A6A01" w:rsidRDefault="006A6A01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</w:p>
    <w:p w:rsidR="00146DF5" w:rsidRDefault="00146DF5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37</w:t>
      </w:r>
      <w:r>
        <w:rPr>
          <w:rFonts w:ascii="Arial" w:hAnsi="Arial" w:cs="Arial"/>
          <w:sz w:val="20"/>
          <w:szCs w:val="20"/>
        </w:rPr>
        <w:t xml:space="preserve"> - Naknade građanima i kućanstvima planiraju se u visini </w:t>
      </w:r>
      <w:r w:rsidR="00421591">
        <w:rPr>
          <w:rFonts w:ascii="Arial" w:hAnsi="Arial" w:cs="Arial"/>
          <w:sz w:val="20"/>
          <w:szCs w:val="20"/>
        </w:rPr>
        <w:t>28.000</w:t>
      </w:r>
      <w:r>
        <w:rPr>
          <w:rFonts w:ascii="Arial" w:hAnsi="Arial" w:cs="Arial"/>
          <w:sz w:val="20"/>
          <w:szCs w:val="20"/>
        </w:rPr>
        <w:t xml:space="preserve">,00 EUR, a odnose se na provedbu dijela socijalnog </w:t>
      </w:r>
      <w:r w:rsidR="00D74DE6">
        <w:rPr>
          <w:rFonts w:ascii="Arial" w:hAnsi="Arial" w:cs="Arial"/>
          <w:sz w:val="20"/>
          <w:szCs w:val="20"/>
        </w:rPr>
        <w:t>program</w:t>
      </w:r>
      <w:r w:rsidR="006A6A0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jednokratne novčane pomoći socijalno ugroženim osobama, naknade ro</w:t>
      </w:r>
      <w:r w:rsidR="006A6A01">
        <w:rPr>
          <w:rFonts w:ascii="Arial" w:hAnsi="Arial" w:cs="Arial"/>
          <w:sz w:val="20"/>
          <w:szCs w:val="20"/>
        </w:rPr>
        <w:t>diteljima za novorođenu djecu i sklapanje brakova</w:t>
      </w:r>
      <w:r w:rsidR="00421591">
        <w:rPr>
          <w:rFonts w:ascii="Arial" w:hAnsi="Arial" w:cs="Arial"/>
          <w:sz w:val="20"/>
          <w:szCs w:val="20"/>
        </w:rPr>
        <w:t xml:space="preserve">, poticajne mjere stambenog zbrinjavanja, božićnice umirovljenicima, </w:t>
      </w:r>
      <w:r w:rsidR="009A456A">
        <w:rPr>
          <w:rFonts w:ascii="Arial" w:hAnsi="Arial" w:cs="Arial"/>
          <w:sz w:val="20"/>
          <w:szCs w:val="20"/>
        </w:rPr>
        <w:t>prijevoz đaka i studenata.</w:t>
      </w:r>
    </w:p>
    <w:p w:rsidR="00146DF5" w:rsidRDefault="00146DF5" w:rsidP="00146DF5">
      <w:pPr>
        <w:pStyle w:val="BodyText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146DF5" w:rsidRDefault="00146DF5" w:rsidP="00146DF5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planiraju se u iznosu od </w:t>
      </w:r>
      <w:r w:rsidR="00007E38">
        <w:rPr>
          <w:rFonts w:ascii="Arial" w:hAnsi="Arial" w:cs="Arial"/>
          <w:sz w:val="20"/>
          <w:szCs w:val="20"/>
        </w:rPr>
        <w:t>91.5</w:t>
      </w:r>
      <w:r w:rsidR="00421591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EUR. U strukturi ostalih rashoda najznačajnije su tekuće donacije a odnose se na organiziranje i provođenje protupožarne zaštite (</w:t>
      </w:r>
      <w:r w:rsidR="00007E38">
        <w:rPr>
          <w:rFonts w:ascii="Arial" w:hAnsi="Arial" w:cs="Arial"/>
          <w:sz w:val="20"/>
          <w:szCs w:val="20"/>
        </w:rPr>
        <w:t>36.000</w:t>
      </w:r>
      <w:r>
        <w:rPr>
          <w:rFonts w:ascii="Arial" w:hAnsi="Arial" w:cs="Arial"/>
          <w:sz w:val="20"/>
          <w:szCs w:val="20"/>
        </w:rPr>
        <w:t>,00</w:t>
      </w:r>
      <w:r w:rsidR="009A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EUR)</w:t>
      </w:r>
      <w:r w:rsidR="006A6A01">
        <w:rPr>
          <w:rFonts w:ascii="Arial" w:hAnsi="Arial" w:cs="Arial"/>
          <w:sz w:val="20"/>
          <w:szCs w:val="20"/>
        </w:rPr>
        <w:t xml:space="preserve">, transferi </w:t>
      </w:r>
      <w:r w:rsidR="00D74DE6">
        <w:rPr>
          <w:rFonts w:ascii="Arial" w:hAnsi="Arial" w:cs="Arial"/>
          <w:sz w:val="20"/>
          <w:szCs w:val="20"/>
        </w:rPr>
        <w:t xml:space="preserve">za redovno funkcioniranje rad </w:t>
      </w:r>
      <w:r w:rsidR="006A6A01">
        <w:rPr>
          <w:rFonts w:ascii="Arial" w:hAnsi="Arial" w:cs="Arial"/>
          <w:sz w:val="20"/>
          <w:szCs w:val="20"/>
        </w:rPr>
        <w:t>TZ</w:t>
      </w:r>
      <w:r w:rsidR="00D74DE6">
        <w:rPr>
          <w:rFonts w:ascii="Arial" w:hAnsi="Arial" w:cs="Arial"/>
          <w:sz w:val="20"/>
          <w:szCs w:val="20"/>
        </w:rPr>
        <w:t>O</w:t>
      </w:r>
      <w:r w:rsidR="006A6A01">
        <w:rPr>
          <w:rFonts w:ascii="Arial" w:hAnsi="Arial" w:cs="Arial"/>
          <w:sz w:val="20"/>
          <w:szCs w:val="20"/>
        </w:rPr>
        <w:t xml:space="preserve"> Janjina</w:t>
      </w:r>
      <w:r w:rsidR="00D74DE6">
        <w:rPr>
          <w:rFonts w:ascii="Arial" w:hAnsi="Arial" w:cs="Arial"/>
          <w:sz w:val="20"/>
          <w:szCs w:val="20"/>
        </w:rPr>
        <w:t xml:space="preserve"> (</w:t>
      </w:r>
      <w:r w:rsidR="00007E38">
        <w:rPr>
          <w:rFonts w:ascii="Arial" w:hAnsi="Arial" w:cs="Arial"/>
          <w:sz w:val="20"/>
          <w:szCs w:val="20"/>
        </w:rPr>
        <w:t>40.000</w:t>
      </w:r>
      <w:r w:rsidR="009A456A">
        <w:rPr>
          <w:rFonts w:ascii="Arial" w:hAnsi="Arial" w:cs="Arial"/>
          <w:sz w:val="20"/>
          <w:szCs w:val="20"/>
        </w:rPr>
        <w:t>,00 EUR)</w:t>
      </w:r>
      <w:r w:rsidR="00D74DE6">
        <w:rPr>
          <w:rFonts w:ascii="Arial" w:hAnsi="Arial" w:cs="Arial"/>
          <w:sz w:val="20"/>
          <w:szCs w:val="20"/>
        </w:rPr>
        <w:t xml:space="preserve"> te</w:t>
      </w:r>
      <w:r>
        <w:rPr>
          <w:rFonts w:ascii="Arial" w:hAnsi="Arial" w:cs="Arial"/>
          <w:sz w:val="20"/>
          <w:szCs w:val="20"/>
        </w:rPr>
        <w:t xml:space="preserve"> sufinanciranje potreba u zdravstvu, donacije udrugama u kulturi, , udrugama u sportu i ostalim udrugama, vjerskim zaje</w:t>
      </w:r>
      <w:r w:rsidR="00D74DE6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>icama i druge donacije</w:t>
      </w:r>
      <w:r w:rsidR="00007E38">
        <w:rPr>
          <w:rFonts w:ascii="Arial" w:hAnsi="Arial" w:cs="Arial"/>
          <w:sz w:val="20"/>
          <w:szCs w:val="20"/>
        </w:rPr>
        <w:t xml:space="preserve"> (15.500,00)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0645C" w:rsidRDefault="00146DF5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42</w:t>
      </w:r>
      <w:r w:rsidR="00D74D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D74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Ukupni rashodi za nabavu dugotrajne nefinancijske imovine iznose </w:t>
      </w:r>
      <w:r w:rsidR="00007E38">
        <w:rPr>
          <w:rFonts w:ascii="Arial" w:hAnsi="Arial" w:cs="Arial"/>
          <w:sz w:val="20"/>
          <w:szCs w:val="20"/>
        </w:rPr>
        <w:t>1.302.070</w:t>
      </w:r>
      <w:r>
        <w:rPr>
          <w:rFonts w:ascii="Arial" w:hAnsi="Arial" w:cs="Arial"/>
          <w:sz w:val="20"/>
          <w:szCs w:val="20"/>
        </w:rPr>
        <w:t>,00 EUR</w:t>
      </w:r>
      <w:r w:rsidR="002064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odnose se na aktivnosti i projekte </w:t>
      </w:r>
      <w:r w:rsidR="0020645C">
        <w:rPr>
          <w:rFonts w:ascii="Arial" w:hAnsi="Arial" w:cs="Arial"/>
          <w:sz w:val="20"/>
          <w:szCs w:val="20"/>
        </w:rPr>
        <w:t xml:space="preserve">nastavka izgradnje komunalne infrastrukture, </w:t>
      </w:r>
      <w:r>
        <w:rPr>
          <w:rFonts w:ascii="Arial" w:hAnsi="Arial" w:cs="Arial"/>
          <w:sz w:val="20"/>
          <w:szCs w:val="20"/>
        </w:rPr>
        <w:t xml:space="preserve">nabava uredske </w:t>
      </w:r>
      <w:r w:rsidR="0020645C">
        <w:rPr>
          <w:rFonts w:ascii="Arial" w:hAnsi="Arial" w:cs="Arial"/>
          <w:sz w:val="20"/>
          <w:szCs w:val="20"/>
        </w:rPr>
        <w:t xml:space="preserve">te ostale </w:t>
      </w:r>
      <w:r>
        <w:rPr>
          <w:rFonts w:ascii="Arial" w:hAnsi="Arial" w:cs="Arial"/>
          <w:sz w:val="20"/>
          <w:szCs w:val="20"/>
        </w:rPr>
        <w:t>opreme,</w:t>
      </w:r>
      <w:r w:rsidR="0020645C">
        <w:rPr>
          <w:rFonts w:ascii="Arial" w:hAnsi="Arial" w:cs="Arial"/>
          <w:sz w:val="20"/>
          <w:szCs w:val="20"/>
        </w:rPr>
        <w:t xml:space="preserve"> kupnju novog kamiona za prikupljanje i odvoz komunalnog otpada, ulaganja u računalne programe, </w:t>
      </w:r>
      <w:r>
        <w:rPr>
          <w:rFonts w:ascii="Arial" w:hAnsi="Arial" w:cs="Arial"/>
          <w:sz w:val="20"/>
          <w:szCs w:val="20"/>
        </w:rPr>
        <w:t xml:space="preserve">izmjena i dopuna PP uređenja općine </w:t>
      </w:r>
      <w:r w:rsidR="0020645C">
        <w:rPr>
          <w:rFonts w:ascii="Arial" w:hAnsi="Arial" w:cs="Arial"/>
          <w:sz w:val="20"/>
          <w:szCs w:val="20"/>
        </w:rPr>
        <w:t>Janjina, te projektne dokumentacije.</w:t>
      </w:r>
    </w:p>
    <w:p w:rsidR="00146DF5" w:rsidRDefault="00146DF5" w:rsidP="00146DF5">
      <w:pPr>
        <w:pStyle w:val="BodyText"/>
        <w:spacing w:after="0"/>
        <w:jc w:val="both"/>
        <w:rPr>
          <w:rFonts w:ascii="Arial" w:hAnsi="Arial" w:cs="Arial"/>
          <w:sz w:val="20"/>
          <w:szCs w:val="20"/>
        </w:rPr>
      </w:pPr>
    </w:p>
    <w:p w:rsidR="00146DF5" w:rsidRDefault="00146DF5" w:rsidP="00146D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Skupina 54 </w:t>
      </w:r>
      <w:r>
        <w:rPr>
          <w:rFonts w:ascii="Arial" w:hAnsi="Arial" w:cs="Arial"/>
          <w:iCs/>
          <w:sz w:val="20"/>
          <w:szCs w:val="20"/>
        </w:rPr>
        <w:t xml:space="preserve">- Izdaci u visini </w:t>
      </w:r>
      <w:r w:rsidR="009A456A">
        <w:rPr>
          <w:rFonts w:ascii="Arial" w:hAnsi="Arial" w:cs="Arial"/>
          <w:iCs/>
          <w:sz w:val="20"/>
          <w:szCs w:val="20"/>
        </w:rPr>
        <w:t>60.</w:t>
      </w:r>
      <w:r w:rsidR="00007E38">
        <w:rPr>
          <w:rFonts w:ascii="Arial" w:hAnsi="Arial" w:cs="Arial"/>
          <w:iCs/>
          <w:sz w:val="20"/>
          <w:szCs w:val="20"/>
        </w:rPr>
        <w:t>0</w:t>
      </w:r>
      <w:r w:rsidR="009A456A">
        <w:rPr>
          <w:rFonts w:ascii="Arial" w:hAnsi="Arial" w:cs="Arial"/>
          <w:iCs/>
          <w:sz w:val="20"/>
          <w:szCs w:val="20"/>
        </w:rPr>
        <w:t>00</w:t>
      </w:r>
      <w:r>
        <w:rPr>
          <w:rFonts w:ascii="Arial" w:hAnsi="Arial" w:cs="Arial"/>
          <w:iCs/>
          <w:sz w:val="20"/>
          <w:szCs w:val="20"/>
        </w:rPr>
        <w:t xml:space="preserve">,00 EUR planirani su za otplatu </w:t>
      </w:r>
      <w:r w:rsidR="0020645C">
        <w:rPr>
          <w:rFonts w:ascii="Arial" w:hAnsi="Arial" w:cs="Arial"/>
          <w:iCs/>
          <w:sz w:val="20"/>
          <w:szCs w:val="20"/>
        </w:rPr>
        <w:t xml:space="preserve">dijela </w:t>
      </w:r>
      <w:proofErr w:type="spellStart"/>
      <w:r w:rsidR="0020645C">
        <w:rPr>
          <w:rFonts w:ascii="Arial" w:hAnsi="Arial" w:cs="Arial"/>
          <w:iCs/>
          <w:sz w:val="20"/>
          <w:szCs w:val="20"/>
        </w:rPr>
        <w:t>leasinga</w:t>
      </w:r>
      <w:proofErr w:type="spellEnd"/>
      <w:r w:rsidR="0020645C">
        <w:rPr>
          <w:rFonts w:ascii="Arial" w:hAnsi="Arial" w:cs="Arial"/>
          <w:iCs/>
          <w:sz w:val="20"/>
          <w:szCs w:val="20"/>
        </w:rPr>
        <w:t xml:space="preserve"> za kupnju kamiona za prikupljanje </w:t>
      </w:r>
      <w:r w:rsidR="00A80720">
        <w:rPr>
          <w:rFonts w:ascii="Arial" w:hAnsi="Arial" w:cs="Arial"/>
          <w:iCs/>
          <w:sz w:val="20"/>
          <w:szCs w:val="20"/>
        </w:rPr>
        <w:t>i odvoz komunalnog otpada.</w:t>
      </w:r>
    </w:p>
    <w:p w:rsidR="00146DF5" w:rsidRDefault="00146DF5" w:rsidP="001C1104">
      <w:pPr>
        <w:jc w:val="both"/>
        <w:rPr>
          <w:rFonts w:ascii="Arial" w:hAnsi="Arial" w:cs="Arial"/>
          <w:b/>
          <w:sz w:val="20"/>
          <w:szCs w:val="20"/>
        </w:rPr>
      </w:pPr>
    </w:p>
    <w:p w:rsidR="00A80720" w:rsidRDefault="00A80720" w:rsidP="001C1104">
      <w:pPr>
        <w:jc w:val="both"/>
        <w:rPr>
          <w:rFonts w:ascii="Arial" w:hAnsi="Arial" w:cs="Arial"/>
          <w:b/>
          <w:sz w:val="20"/>
          <w:szCs w:val="20"/>
        </w:rPr>
      </w:pPr>
    </w:p>
    <w:p w:rsidR="00A80720" w:rsidRDefault="00A80720" w:rsidP="00A80720">
      <w:pPr>
        <w:pStyle w:val="Heading1"/>
        <w:rPr>
          <w:rFonts w:ascii="Arial" w:hAnsi="Arial" w:cs="Arial"/>
          <w:i/>
          <w:sz w:val="32"/>
          <w:szCs w:val="32"/>
        </w:rPr>
      </w:pPr>
      <w:bookmarkStart w:id="8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8"/>
    </w:p>
    <w:p w:rsidR="00A80720" w:rsidRDefault="00A80720" w:rsidP="00A80720">
      <w:pPr>
        <w:jc w:val="both"/>
      </w:pPr>
    </w:p>
    <w:p w:rsidR="00A80720" w:rsidRDefault="00A80720" w:rsidP="00A80720">
      <w:pPr>
        <w:pStyle w:val="Heading2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bookmarkStart w:id="9" w:name="_Toc90259049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>RASHODI I IZDACI PO ORGANIZACIJSKIM JEDINICAMA I PROGRAMIMA</w:t>
      </w:r>
      <w:bookmarkEnd w:id="9"/>
    </w:p>
    <w:p w:rsidR="00A80720" w:rsidRDefault="00A80720" w:rsidP="00A8072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0720" w:rsidRDefault="00A80720" w:rsidP="00A8072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0720" w:rsidRDefault="00A80720" w:rsidP="00A807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Rashodi su u Posebnom dijelu proračuna </w:t>
      </w:r>
      <w:r w:rsidR="00B8458F">
        <w:rPr>
          <w:rFonts w:ascii="Arial" w:hAnsi="Arial" w:cs="Arial"/>
          <w:sz w:val="20"/>
          <w:szCs w:val="20"/>
        </w:rPr>
        <w:t xml:space="preserve">raspodijeljeni </w:t>
      </w:r>
      <w:r>
        <w:rPr>
          <w:rFonts w:ascii="Arial" w:hAnsi="Arial" w:cs="Arial"/>
          <w:sz w:val="20"/>
          <w:szCs w:val="20"/>
        </w:rPr>
        <w:t>po organizacijskoj klasifikaciji</w:t>
      </w:r>
      <w:r w:rsidR="00B8458F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Jedinstveni upravni odjel.</w:t>
      </w:r>
    </w:p>
    <w:p w:rsidR="00A80720" w:rsidRDefault="00A80720" w:rsidP="00A80720">
      <w:pPr>
        <w:jc w:val="both"/>
        <w:rPr>
          <w:rFonts w:ascii="Arial" w:hAnsi="Arial" w:cs="Arial"/>
          <w:sz w:val="20"/>
          <w:szCs w:val="20"/>
        </w:rPr>
      </w:pPr>
    </w:p>
    <w:p w:rsidR="00A80720" w:rsidRDefault="00A80720" w:rsidP="00A807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Planiranim Programima, aktivnostima i projektima, osigurava se rad općinskih tijela i njenih  korisnika, te se ispunjavaju zakonima propisane obveze </w:t>
      </w:r>
      <w:r w:rsidR="005E7E6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pćine, u skladu sa raspoloživim financijskim sredstvima. </w:t>
      </w:r>
    </w:p>
    <w:p w:rsidR="00A80720" w:rsidRDefault="00A80720" w:rsidP="00A807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Osim zakonom propisanih obveza, Općina Janjina je donijela i niz svojih odluka kojima se poboljšavaju i unapređuju uvjeti života/rada građana i obitelji sa posebnom brigom o djeci predškolskog uzrasta, obitelji, fizičkih i pravnih osoba, neprofitnih organizacija, vjerskih zajednica i dr. subjekata koji djeluju na području općine. </w:t>
      </w:r>
    </w:p>
    <w:p w:rsidR="00A80720" w:rsidRDefault="00A80720" w:rsidP="00A80720">
      <w:pPr>
        <w:jc w:val="both"/>
        <w:rPr>
          <w:rFonts w:ascii="Arial" w:hAnsi="Arial" w:cs="Arial"/>
          <w:sz w:val="20"/>
          <w:szCs w:val="20"/>
        </w:rPr>
      </w:pPr>
    </w:p>
    <w:p w:rsidR="00A80720" w:rsidRDefault="00A80720" w:rsidP="00A807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u Razdjelu Jedinstveni upravni odjel, planiran</w:t>
      </w:r>
      <w:r w:rsidR="00B8458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iznos </w:t>
      </w:r>
      <w:r w:rsidR="002559B2">
        <w:rPr>
          <w:rFonts w:ascii="Arial" w:hAnsi="Arial" w:cs="Arial"/>
          <w:sz w:val="20"/>
          <w:szCs w:val="20"/>
        </w:rPr>
        <w:t>2.045.600</w:t>
      </w:r>
      <w:r>
        <w:rPr>
          <w:rFonts w:ascii="Arial" w:hAnsi="Arial" w:cs="Arial"/>
          <w:sz w:val="20"/>
          <w:szCs w:val="20"/>
        </w:rPr>
        <w:t>,00 EUR, se dalje raspoređuju po aktivnostima i projektima, prema izvorima financiranja, ekonomskoj i funkcijskoj klasifikaciji koji su detaljno prikazani u tablicama posebnog dijela proračuna.</w:t>
      </w:r>
    </w:p>
    <w:p w:rsidR="00A80720" w:rsidRPr="003F2A51" w:rsidRDefault="00A80720" w:rsidP="00A80720">
      <w:pPr>
        <w:jc w:val="both"/>
        <w:rPr>
          <w:rFonts w:ascii="Arial" w:hAnsi="Arial" w:cs="Arial"/>
          <w:b/>
          <w:sz w:val="20"/>
          <w:szCs w:val="20"/>
        </w:rPr>
      </w:pPr>
    </w:p>
    <w:sectPr w:rsidR="00A80720" w:rsidRPr="003F2A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1713"/>
    <w:multiLevelType w:val="hybridMultilevel"/>
    <w:tmpl w:val="A8BEFF92"/>
    <w:lvl w:ilvl="0" w:tplc="4DB0C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06203"/>
    <w:multiLevelType w:val="hybridMultilevel"/>
    <w:tmpl w:val="7674E5E0"/>
    <w:lvl w:ilvl="0" w:tplc="ACA0E1AE">
      <w:start w:val="66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200"/>
  </w:docVars>
  <w:rsids>
    <w:rsidRoot w:val="00C05E3C"/>
    <w:rsid w:val="00007E38"/>
    <w:rsid w:val="00037E18"/>
    <w:rsid w:val="00051E1A"/>
    <w:rsid w:val="000521AF"/>
    <w:rsid w:val="00075017"/>
    <w:rsid w:val="00095ECB"/>
    <w:rsid w:val="00146DF5"/>
    <w:rsid w:val="001C1104"/>
    <w:rsid w:val="0020283D"/>
    <w:rsid w:val="0020645C"/>
    <w:rsid w:val="002559B2"/>
    <w:rsid w:val="002822F2"/>
    <w:rsid w:val="003F2A51"/>
    <w:rsid w:val="00421591"/>
    <w:rsid w:val="00450BEF"/>
    <w:rsid w:val="004511F3"/>
    <w:rsid w:val="00466556"/>
    <w:rsid w:val="004F0A85"/>
    <w:rsid w:val="0053358C"/>
    <w:rsid w:val="00544E01"/>
    <w:rsid w:val="00565F91"/>
    <w:rsid w:val="00566071"/>
    <w:rsid w:val="005E7E67"/>
    <w:rsid w:val="006A6A01"/>
    <w:rsid w:val="006B7C46"/>
    <w:rsid w:val="006F28FF"/>
    <w:rsid w:val="007644E3"/>
    <w:rsid w:val="007A184F"/>
    <w:rsid w:val="007D4132"/>
    <w:rsid w:val="008038FC"/>
    <w:rsid w:val="008557D3"/>
    <w:rsid w:val="008E6B33"/>
    <w:rsid w:val="00953D31"/>
    <w:rsid w:val="009870DD"/>
    <w:rsid w:val="009A456A"/>
    <w:rsid w:val="009D2F7E"/>
    <w:rsid w:val="009D7E8E"/>
    <w:rsid w:val="00A27BB0"/>
    <w:rsid w:val="00A80720"/>
    <w:rsid w:val="00AB4C8C"/>
    <w:rsid w:val="00AE0E34"/>
    <w:rsid w:val="00B02E53"/>
    <w:rsid w:val="00B300C9"/>
    <w:rsid w:val="00B44BE3"/>
    <w:rsid w:val="00B8458F"/>
    <w:rsid w:val="00C05E3C"/>
    <w:rsid w:val="00CB18A5"/>
    <w:rsid w:val="00D74DE6"/>
    <w:rsid w:val="00D95532"/>
    <w:rsid w:val="00D97C89"/>
    <w:rsid w:val="00DB0882"/>
    <w:rsid w:val="00E35DC7"/>
    <w:rsid w:val="00E834B2"/>
    <w:rsid w:val="00E95C6F"/>
    <w:rsid w:val="00F33889"/>
    <w:rsid w:val="00F77920"/>
    <w:rsid w:val="00F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07D1"/>
  <w15:chartTrackingRefBased/>
  <w15:docId w15:val="{DF931A8C-AA62-43CE-9DC1-02B5E903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E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hr-HR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C05E3C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C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E3C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05E3C"/>
    <w:pPr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E3C"/>
    <w:rPr>
      <w:rFonts w:ascii="Times New Roman" w:eastAsia="Lucida Sans Unicode" w:hAnsi="Times New Roman" w:cs="Mangal"/>
      <w:kern w:val="2"/>
      <w:sz w:val="24"/>
      <w:szCs w:val="24"/>
      <w:lang w:val="hr-HR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C7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val="hr-HR" w:eastAsia="hi-IN" w:bidi="hi-IN"/>
    </w:rPr>
  </w:style>
  <w:style w:type="paragraph" w:styleId="ListParagraph">
    <w:name w:val="List Paragraph"/>
    <w:basedOn w:val="Normal"/>
    <w:uiPriority w:val="34"/>
    <w:qFormat/>
    <w:rsid w:val="004F0A8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58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8C"/>
    <w:rPr>
      <w:rFonts w:ascii="Segoe UI" w:eastAsia="SimSun" w:hAnsi="Segoe UI" w:cs="Mangal"/>
      <w:kern w:val="2"/>
      <w:sz w:val="18"/>
      <w:szCs w:val="16"/>
      <w:lang w:val="hr-H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Windows User</cp:lastModifiedBy>
  <cp:revision>7</cp:revision>
  <cp:lastPrinted>2022-12-23T12:55:00Z</cp:lastPrinted>
  <dcterms:created xsi:type="dcterms:W3CDTF">2024-12-30T07:05:00Z</dcterms:created>
  <dcterms:modified xsi:type="dcterms:W3CDTF">2025-01-03T09:38:00Z</dcterms:modified>
</cp:coreProperties>
</file>