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3B30" w14:textId="77777777" w:rsidR="00736ACB" w:rsidRDefault="009452C4" w:rsidP="00736ACB">
      <w:pPr>
        <w:pStyle w:val="Naslov2"/>
        <w:numPr>
          <w:ilvl w:val="0"/>
          <w:numId w:val="0"/>
        </w:numPr>
        <w:ind w:left="576" w:hanging="576"/>
      </w:pPr>
      <w:bookmarkStart w:id="0" w:name="_Toc516564282"/>
      <w:bookmarkStart w:id="1" w:name="_Toc516746284"/>
      <w:bookmarkStart w:id="2" w:name="_Hlk513203787"/>
      <w:bookmarkStart w:id="3" w:name="_Toc521570959"/>
      <w:bookmarkStart w:id="4" w:name="_Toc252244"/>
      <w:bookmarkStart w:id="5" w:name="_Toc290729268"/>
      <w:bookmarkStart w:id="6" w:name="_Toc310941661"/>
      <w:bookmarkStart w:id="7" w:name="_Toc319908679"/>
      <w:bookmarkStart w:id="8" w:name="_Toc363116743"/>
      <w:bookmarkStart w:id="9" w:name="_Toc502922289"/>
      <w:r>
        <w:t xml:space="preserve">SEPARAT </w:t>
      </w:r>
      <w:r w:rsidR="00CD4DE6">
        <w:t>4</w:t>
      </w:r>
    </w:p>
    <w:p w14:paraId="1BBB787B" w14:textId="77777777" w:rsidR="00736ACB" w:rsidRPr="00736ACB" w:rsidRDefault="00736ACB" w:rsidP="00736ACB">
      <w:pPr>
        <w:pStyle w:val="Naslov2"/>
        <w:numPr>
          <w:ilvl w:val="0"/>
          <w:numId w:val="0"/>
        </w:numPr>
        <w:ind w:left="576" w:hanging="576"/>
        <w:rPr>
          <w:rFonts w:ascii="Times New Roman" w:hAnsi="Times New Roman"/>
        </w:rPr>
      </w:pPr>
      <w:r w:rsidRPr="00736ACB">
        <w:rPr>
          <w:rFonts w:ascii="Times New Roman" w:hAnsi="Times New Roman"/>
        </w:rPr>
        <w:t xml:space="preserve">MJERE CIVILNE ZAŠTITE OD </w:t>
      </w:r>
      <w:bookmarkEnd w:id="0"/>
      <w:bookmarkEnd w:id="1"/>
      <w:bookmarkEnd w:id="2"/>
      <w:bookmarkEnd w:id="3"/>
      <w:bookmarkEnd w:id="4"/>
      <w:r w:rsidR="00661BF4">
        <w:rPr>
          <w:rFonts w:ascii="Times New Roman" w:hAnsi="Times New Roman"/>
        </w:rPr>
        <w:t>POŽARA OTVORENOG PROSTORA</w:t>
      </w:r>
    </w:p>
    <w:p w14:paraId="0209CA93" w14:textId="77777777" w:rsidR="00661BF4" w:rsidRDefault="00661BF4" w:rsidP="00661BF4">
      <w:pPr>
        <w:pStyle w:val="Bezproreda1"/>
      </w:pPr>
      <w:bookmarkStart w:id="10" w:name="_Toc521570960"/>
      <w:bookmarkStart w:id="11" w:name="_Toc252245"/>
      <w:r>
        <w:t xml:space="preserve">Od poznatih uzroka, samo je 10 % nastalo prirodno (udar groma), a 90% je posljedica slučajnog ili namjernog djelovanja čovjeka (nepažnja, paljenje poljoprivrednog otpada, namjerno paljenje, promet, električni vodovi, mine i ostalo). </w:t>
      </w:r>
    </w:p>
    <w:p w14:paraId="4CAD0C3E" w14:textId="77777777" w:rsidR="00661BF4" w:rsidRDefault="00661BF4" w:rsidP="00661BF4">
      <w:pPr>
        <w:pStyle w:val="Bezproreda1"/>
      </w:pPr>
    </w:p>
    <w:p w14:paraId="25BB9220" w14:textId="77777777" w:rsidR="00661BF4" w:rsidRDefault="00661BF4" w:rsidP="00661BF4">
      <w:pPr>
        <w:pStyle w:val="Bezproreda1"/>
      </w:pPr>
      <w:r>
        <w:t xml:space="preserve">Promatramo li sezonsku dinamiku požara, imamo dva kritična razdoblja. Prvo kritično razdoblje javlja se u kasnu zimu i rano proljeće (II, III, IV mjesec) i vezano je uz poljodjelske radove, a udio broja požara tog razdoblja iznosi više od 30 % od ukupnog godišnjeg broja požara. Iako su požari u tom razdoblju česti, nisu velikih ili katastrofalnih razmjera. </w:t>
      </w:r>
    </w:p>
    <w:p w14:paraId="27E199D0" w14:textId="77777777" w:rsidR="00661BF4" w:rsidRDefault="00661BF4" w:rsidP="00661BF4">
      <w:pPr>
        <w:pStyle w:val="Bezproreda1"/>
      </w:pPr>
    </w:p>
    <w:p w14:paraId="14D67F48" w14:textId="77777777" w:rsidR="00661BF4" w:rsidRDefault="00661BF4" w:rsidP="00661BF4">
      <w:pPr>
        <w:pStyle w:val="Bezproreda1"/>
      </w:pPr>
      <w:r>
        <w:t>Drugo kritično razdoblje je u ljetnim mjesecima (VII, VIII, IX mjesec), kada nastane oko 50 % godišnjeg broja požara.</w:t>
      </w:r>
      <w:r>
        <w:rPr>
          <w:rStyle w:val="Referencafusnote"/>
        </w:rPr>
        <w:footnoteReference w:id="1"/>
      </w:r>
    </w:p>
    <w:p w14:paraId="03DDA1E9" w14:textId="77777777" w:rsidR="004D3344" w:rsidRDefault="004D3344" w:rsidP="004D3344">
      <w:pPr>
        <w:pStyle w:val="Bezproreda1"/>
      </w:pPr>
    </w:p>
    <w:p w14:paraId="68991653" w14:textId="77777777" w:rsidR="004D3344" w:rsidRDefault="004D3344" w:rsidP="004D3344">
      <w:pPr>
        <w:pStyle w:val="Bezproreda1"/>
      </w:pPr>
      <w:r>
        <w:t>Požari raslinja nastaju kao uzročno posljedična veza klimatskih čimbenika, stanja gorivog materijala (vlažnost, vrste biljnog pokrova i količina drvne i druge biomase) i ljudske aktivnosti. Požari živog i mrtvog goriva na otvorenom prostoru na površinama šumskog, poljoprivrednog i ostalog neobrađenog i zapuštenog zemljišta, generiraju velike poremećaje cijelog ekosustava i narušavaju općekorisne funkcije šuma. To rezultira teško nadoknadivim gospodarskim štetama, velikim troškovima obnove te drugim posrednim i neposrednim gubicima. Takvi požari su destabilizator biološke i krajobrazne raznolikosti i kontaminiraju zrak na užem prostoru, ali i uzrokuju dugoročne štete emisijom ugljičnog dioksida.</w:t>
      </w:r>
    </w:p>
    <w:p w14:paraId="53FA4E36" w14:textId="77777777" w:rsidR="004D3344" w:rsidRDefault="004D3344" w:rsidP="004D3344">
      <w:pPr>
        <w:pStyle w:val="Bezproreda1"/>
      </w:pPr>
      <w:r>
        <w:t>Postoje dva kritična razdoblja povećane pojave požara na otvorenom prostoru:</w:t>
      </w:r>
    </w:p>
    <w:p w14:paraId="44974236" w14:textId="77777777" w:rsidR="004D3344" w:rsidRPr="00704509" w:rsidRDefault="004D3344" w:rsidP="004D3344">
      <w:pPr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4509">
        <w:rPr>
          <w:rFonts w:ascii="Times New Roman" w:hAnsi="Times New Roman"/>
          <w:b/>
          <w:sz w:val="24"/>
          <w:szCs w:val="24"/>
        </w:rPr>
        <w:t>Proljetno</w:t>
      </w:r>
      <w:r w:rsidRPr="00704509">
        <w:rPr>
          <w:rFonts w:ascii="Times New Roman" w:hAnsi="Times New Roman"/>
          <w:sz w:val="24"/>
          <w:szCs w:val="24"/>
        </w:rPr>
        <w:t>- mjeseci veljača, ožujak i travanj (osobito praćeno sušom i vjetrom, dok nije počeo proces ozelenjivanja vegetacije) kada nastaje povećan broj požara, najviše u kontinentalnom području, ali nije isključeno i u priobalnom području. Povećani broj požara osobito je izražen poradi spaljivanja korova i ostalog bio otpada zaostalog nakon čišćenja poljoprivrednih i šumskih površina.</w:t>
      </w:r>
    </w:p>
    <w:p w14:paraId="79D3EE3A" w14:textId="77777777" w:rsidR="004D3344" w:rsidRPr="00704509" w:rsidRDefault="004D3344" w:rsidP="004D3344">
      <w:pPr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4509">
        <w:rPr>
          <w:rFonts w:ascii="Times New Roman" w:hAnsi="Times New Roman"/>
          <w:b/>
          <w:sz w:val="24"/>
          <w:szCs w:val="24"/>
        </w:rPr>
        <w:t>Ljetno</w:t>
      </w:r>
      <w:r w:rsidRPr="00704509">
        <w:rPr>
          <w:rFonts w:ascii="Times New Roman" w:hAnsi="Times New Roman"/>
          <w:sz w:val="24"/>
          <w:szCs w:val="24"/>
        </w:rPr>
        <w:t xml:space="preserve"> - mjesec srpanj, kolovoz, rujan, također nastaje povećan broj požara, najvećim dijelom na priobalnom području s otocima. Žestina takvih požara osobito je pojačana ukoliko se poklopi i sušno razdoblje i ostalih ekstremni meteorološki uvjeti (jak vjetar, visoka temperatura i suhoća zraka, udari groma)</w:t>
      </w:r>
    </w:p>
    <w:p w14:paraId="52671464" w14:textId="77777777" w:rsidR="00827CE8" w:rsidRDefault="00827CE8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</w:p>
    <w:p w14:paraId="57861AC4" w14:textId="77777777" w:rsidR="004D3344" w:rsidRDefault="004D3344" w:rsidP="004D3344">
      <w:pPr>
        <w:pStyle w:val="Bezproreda1"/>
      </w:pPr>
      <w:r>
        <w:t xml:space="preserve">Najčešći način izazivanja je </w:t>
      </w:r>
      <w:r>
        <w:rPr>
          <w:b/>
        </w:rPr>
        <w:t>nemar ili nepažnja</w:t>
      </w:r>
      <w:r>
        <w:t xml:space="preserve"> poradi paljenja korova i bio otpada, radova u šumi, nepažnji sa ložištima za roštilje, neugašenoj vatri, dječje igre i zapuštenih neuređenih deponija organskog i anorganskog otpada. </w:t>
      </w:r>
    </w:p>
    <w:p w14:paraId="4EBDB442" w14:textId="77777777" w:rsidR="004D3344" w:rsidRDefault="004D3344" w:rsidP="004D3344">
      <w:pPr>
        <w:pStyle w:val="Bezproreda1"/>
      </w:pPr>
      <w:r>
        <w:t>Prisutno je i</w:t>
      </w:r>
      <w:r>
        <w:rPr>
          <w:b/>
        </w:rPr>
        <w:t xml:space="preserve"> namjerno paljenje</w:t>
      </w:r>
      <w:r>
        <w:t xml:space="preserve"> poradi pretvorbe zemljišta u građevinsko, tradicija obnove pašnjaka paljenjem suhe trave, a u manjoj mjeri i piromanija, osveta, krivolov i terorističko djelovanje. </w:t>
      </w:r>
    </w:p>
    <w:p w14:paraId="5EB926C2" w14:textId="77777777" w:rsidR="004D3344" w:rsidRDefault="004D3344" w:rsidP="004D3344">
      <w:pPr>
        <w:pStyle w:val="Bezproreda1"/>
      </w:pPr>
      <w:r>
        <w:t>Najčešći uzroci požara su otvoreni plamen, a nešto manji postotak požara je uzrokovan pražnjenjem atmosferskog elektriciteta ili toplinom koja nastaje trenjem (kočenje vlaka i ispadanje užarenih kočionih obloga).</w:t>
      </w:r>
    </w:p>
    <w:p w14:paraId="0010D811" w14:textId="77777777" w:rsidR="004D3344" w:rsidRDefault="004D3344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</w:p>
    <w:p w14:paraId="213DB3C2" w14:textId="77777777" w:rsidR="004D3344" w:rsidRDefault="004D3344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</w:p>
    <w:p w14:paraId="5725DA11" w14:textId="77777777" w:rsidR="00827CE8" w:rsidRDefault="00827CE8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  <w:r w:rsidRPr="002C06EA">
        <w:rPr>
          <w:rFonts w:ascii="Times New Roman" w:hAnsi="Times New Roman"/>
          <w:sz w:val="24"/>
          <w:szCs w:val="24"/>
        </w:rPr>
        <w:lastRenderedPageBreak/>
        <w:t xml:space="preserve">Uslijed požara </w:t>
      </w:r>
      <w:r w:rsidR="004D3344">
        <w:rPr>
          <w:rFonts w:ascii="Times New Roman" w:hAnsi="Times New Roman"/>
          <w:sz w:val="24"/>
          <w:szCs w:val="24"/>
        </w:rPr>
        <w:t>otvorenog prostora broj ugroženih osoba ovisi o samoj lokaciji i uzroku izbijanja požara. Eventualno bi bilo ugroženo 2-3 osobe koje bi se našle u neposrednoj blizini izbijanja požara</w:t>
      </w:r>
      <w:r>
        <w:rPr>
          <w:rFonts w:ascii="Times New Roman" w:hAnsi="Times New Roman"/>
          <w:sz w:val="24"/>
          <w:szCs w:val="24"/>
        </w:rPr>
        <w:t>.</w:t>
      </w:r>
    </w:p>
    <w:p w14:paraId="622B9551" w14:textId="77777777" w:rsidR="004D3344" w:rsidRPr="002C06EA" w:rsidRDefault="004D3344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Veći broj osoba bio bi ugrožen ukoliko bi se požar otvorenog prostora proširio do rubnih dijelova naseljenih mjesta.</w:t>
      </w:r>
    </w:p>
    <w:p w14:paraId="3D0C27C8" w14:textId="77777777" w:rsidR="00827CE8" w:rsidRPr="00827CE8" w:rsidRDefault="00827CE8" w:rsidP="00827CE8">
      <w:pPr>
        <w:pStyle w:val="Bezproreda2"/>
        <w:jc w:val="both"/>
        <w:rPr>
          <w:rFonts w:ascii="Times New Roman" w:hAnsi="Times New Roman"/>
          <w:sz w:val="24"/>
          <w:szCs w:val="24"/>
        </w:rPr>
      </w:pPr>
    </w:p>
    <w:p w14:paraId="165EF7F4" w14:textId="77777777" w:rsidR="00783835" w:rsidRDefault="00783835" w:rsidP="00783835">
      <w:pPr>
        <w:pStyle w:val="Naslov3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aktivnosti oko saniranja posljedica </w:t>
      </w:r>
      <w:r w:rsidR="004D3344">
        <w:rPr>
          <w:rFonts w:ascii="Times New Roman" w:hAnsi="Times New Roman"/>
        </w:rPr>
        <w:t xml:space="preserve">požara otvorenog prostora </w:t>
      </w:r>
      <w:r>
        <w:rPr>
          <w:rFonts w:ascii="Times New Roman" w:hAnsi="Times New Roman"/>
        </w:rPr>
        <w:t xml:space="preserve">provode gotove snage (prije svega vatrogasci </w:t>
      </w:r>
      <w:r w:rsidR="004D3344">
        <w:rPr>
          <w:rFonts w:ascii="Times New Roman" w:hAnsi="Times New Roman"/>
        </w:rPr>
        <w:t xml:space="preserve">–JVP i DVD, </w:t>
      </w:r>
      <w:r>
        <w:rPr>
          <w:rFonts w:ascii="Times New Roman" w:hAnsi="Times New Roman"/>
        </w:rPr>
        <w:t>a u slučaju potrebe hitna služba, ZZJZ i HGSS</w:t>
      </w:r>
      <w:r w:rsidR="00893480">
        <w:rPr>
          <w:rFonts w:ascii="Times New Roman" w:hAnsi="Times New Roman"/>
        </w:rPr>
        <w:t>), JLS će se uključiti u provođenje slijedećih mjera koja su u njihovoj nadležnosti:</w:t>
      </w:r>
    </w:p>
    <w:p w14:paraId="545B0C61" w14:textId="77777777" w:rsidR="00893480" w:rsidRDefault="00893480" w:rsidP="00893480">
      <w:pPr>
        <w:pStyle w:val="Odlomakpopisa"/>
        <w:numPr>
          <w:ilvl w:val="0"/>
          <w:numId w:val="41"/>
        </w:numPr>
      </w:pPr>
      <w:r>
        <w:t>Uzbunjivanje</w:t>
      </w:r>
    </w:p>
    <w:p w14:paraId="43F6BCAE" w14:textId="77777777" w:rsidR="00893480" w:rsidRDefault="00893480" w:rsidP="00893480">
      <w:pPr>
        <w:pStyle w:val="Odlomakpopisa"/>
        <w:numPr>
          <w:ilvl w:val="0"/>
          <w:numId w:val="41"/>
        </w:numPr>
      </w:pPr>
      <w:r>
        <w:t>Evakuacija</w:t>
      </w:r>
    </w:p>
    <w:p w14:paraId="6BB13813" w14:textId="77777777" w:rsidR="00893480" w:rsidRPr="00893480" w:rsidRDefault="002A6B4E" w:rsidP="00893480">
      <w:pPr>
        <w:pStyle w:val="Odlomakpopisa"/>
        <w:numPr>
          <w:ilvl w:val="0"/>
          <w:numId w:val="41"/>
        </w:numPr>
      </w:pPr>
      <w:r>
        <w:t>Z</w:t>
      </w:r>
      <w:r w:rsidR="00893480">
        <w:t>brinjavanje</w:t>
      </w:r>
    </w:p>
    <w:p w14:paraId="08C11B14" w14:textId="77777777" w:rsidR="00783835" w:rsidRDefault="00783835" w:rsidP="00783835"/>
    <w:p w14:paraId="73389093" w14:textId="77777777" w:rsidR="00A2417E" w:rsidRPr="00783835" w:rsidRDefault="00A2417E" w:rsidP="00783835">
      <w:pPr>
        <w:sectPr w:rsidR="00A2417E" w:rsidRPr="00783835" w:rsidSect="00A2417E"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0F4E16" w14:textId="77777777" w:rsidR="00A2417E" w:rsidRDefault="00A2417E" w:rsidP="00A2417E">
      <w:pPr>
        <w:pStyle w:val="Naslov3"/>
        <w:numPr>
          <w:ilvl w:val="0"/>
          <w:numId w:val="0"/>
        </w:numPr>
        <w:rPr>
          <w:rFonts w:ascii="Times New Roman" w:hAnsi="Times New Roman"/>
        </w:rPr>
      </w:pPr>
    </w:p>
    <w:p w14:paraId="52339767" w14:textId="77777777" w:rsidR="00736ACB" w:rsidRPr="006178B2" w:rsidRDefault="00736ACB" w:rsidP="006178B2">
      <w:pPr>
        <w:pStyle w:val="Naslov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r w:rsidRPr="006178B2">
        <w:rPr>
          <w:rFonts w:ascii="Times New Roman" w:hAnsi="Times New Roman"/>
        </w:rPr>
        <w:t xml:space="preserve">Pregled zadaća, nositelja, operativnih postupaka, kapaciteta i operativnog doprinosa– </w:t>
      </w:r>
      <w:bookmarkEnd w:id="10"/>
      <w:bookmarkEnd w:id="11"/>
      <w:r w:rsidR="004D3344">
        <w:rPr>
          <w:rFonts w:ascii="Times New Roman" w:hAnsi="Times New Roman"/>
        </w:rPr>
        <w:t>požar otvorenog prostora</w:t>
      </w:r>
    </w:p>
    <w:bookmarkEnd w:id="5"/>
    <w:bookmarkEnd w:id="6"/>
    <w:bookmarkEnd w:id="7"/>
    <w:bookmarkEnd w:id="8"/>
    <w:bookmarkEnd w:id="9"/>
    <w:p w14:paraId="20443C76" w14:textId="77777777" w:rsidR="00736ACB" w:rsidRDefault="00736ACB" w:rsidP="00736AC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2322"/>
        <w:gridCol w:w="6997"/>
        <w:gridCol w:w="3978"/>
      </w:tblGrid>
      <w:tr w:rsidR="00A16D98" w:rsidRPr="00A2417E" w14:paraId="57AF0E78" w14:textId="77777777" w:rsidTr="00FC40E9">
        <w:trPr>
          <w:trHeight w:val="144"/>
          <w:tblHeader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3DBFF"/>
            <w:vAlign w:val="center"/>
          </w:tcPr>
          <w:p w14:paraId="74D03FE0" w14:textId="77777777" w:rsidR="00A16D98" w:rsidRPr="00783835" w:rsidRDefault="00A16D98" w:rsidP="008D09F6">
            <w:pPr>
              <w:pStyle w:val="Bezproreda"/>
              <w:rPr>
                <w:rStyle w:val="Naslovknjige"/>
                <w:rFonts w:cs="Times New Roman"/>
                <w:sz w:val="20"/>
                <w:szCs w:val="20"/>
              </w:rPr>
            </w:pPr>
            <w:r w:rsidRPr="00783835">
              <w:rPr>
                <w:rStyle w:val="Naslovknjige"/>
                <w:rFonts w:cs="Times New Roman"/>
                <w:sz w:val="20"/>
                <w:szCs w:val="20"/>
              </w:rPr>
              <w:t>R.B.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3DBFF"/>
            <w:vAlign w:val="center"/>
          </w:tcPr>
          <w:p w14:paraId="742F5960" w14:textId="77777777" w:rsidR="004D3344" w:rsidRDefault="00A16D98" w:rsidP="008D09F6">
            <w:pPr>
              <w:pStyle w:val="Bezproreda"/>
              <w:jc w:val="center"/>
              <w:rPr>
                <w:rStyle w:val="Naslovknjige"/>
                <w:rFonts w:cs="Times New Roman"/>
                <w:sz w:val="20"/>
                <w:szCs w:val="20"/>
              </w:rPr>
            </w:pPr>
            <w:r w:rsidRPr="00783835">
              <w:rPr>
                <w:rStyle w:val="Naslovknjige"/>
                <w:rFonts w:cs="Times New Roman"/>
                <w:sz w:val="20"/>
                <w:szCs w:val="20"/>
              </w:rPr>
              <w:t>ZADAĆA</w:t>
            </w:r>
          </w:p>
          <w:p w14:paraId="5784B262" w14:textId="77777777" w:rsidR="00A16D98" w:rsidRPr="00783835" w:rsidRDefault="00A16D98" w:rsidP="008D09F6">
            <w:pPr>
              <w:pStyle w:val="Bezproreda"/>
              <w:jc w:val="center"/>
              <w:rPr>
                <w:rStyle w:val="Naslovknjige"/>
                <w:rFonts w:cs="Times New Roman"/>
                <w:sz w:val="20"/>
                <w:szCs w:val="20"/>
              </w:rPr>
            </w:pPr>
            <w:r w:rsidRPr="00783835">
              <w:rPr>
                <w:rStyle w:val="Naslovknjige"/>
                <w:rFonts w:cs="Times New Roman"/>
                <w:sz w:val="20"/>
                <w:szCs w:val="20"/>
              </w:rPr>
              <w:t xml:space="preserve"> (MJERA CZ)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3DBFF"/>
            <w:vAlign w:val="center"/>
          </w:tcPr>
          <w:p w14:paraId="18BC32D8" w14:textId="77777777" w:rsidR="00A16D98" w:rsidRPr="00783835" w:rsidRDefault="00A16D98" w:rsidP="00A1740D">
            <w:pPr>
              <w:pStyle w:val="Bezproreda"/>
              <w:jc w:val="center"/>
              <w:rPr>
                <w:rStyle w:val="Naslovknjige"/>
                <w:rFonts w:cs="Times New Roman"/>
                <w:sz w:val="20"/>
                <w:szCs w:val="20"/>
              </w:rPr>
            </w:pPr>
            <w:r w:rsidRPr="00783835">
              <w:rPr>
                <w:rStyle w:val="Naslovknjige"/>
                <w:rFonts w:cs="Times New Roman"/>
                <w:sz w:val="20"/>
                <w:szCs w:val="20"/>
              </w:rPr>
              <w:t xml:space="preserve">OPERATIVNI POSTUPCI, KAPACITETI I OPERATIVNI DOPRINOS </w:t>
            </w:r>
            <w:r w:rsidR="00CD4DE6">
              <w:rPr>
                <w:rStyle w:val="Naslovknjige"/>
                <w:rFonts w:cs="Times New Roman"/>
                <w:sz w:val="20"/>
                <w:szCs w:val="20"/>
              </w:rPr>
              <w:t>OPĆINE JANJINA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3DBFF"/>
            <w:vAlign w:val="center"/>
          </w:tcPr>
          <w:p w14:paraId="06F748C3" w14:textId="77777777" w:rsidR="00A16D98" w:rsidRPr="00783835" w:rsidRDefault="00A16D98" w:rsidP="008D09F6">
            <w:pPr>
              <w:pStyle w:val="Bezproreda"/>
              <w:jc w:val="center"/>
              <w:rPr>
                <w:rStyle w:val="Naslovknjige"/>
                <w:rFonts w:cs="Times New Roman"/>
                <w:sz w:val="20"/>
                <w:szCs w:val="20"/>
              </w:rPr>
            </w:pPr>
            <w:r w:rsidRPr="00783835">
              <w:rPr>
                <w:rStyle w:val="Naslovknjige"/>
                <w:rFonts w:cs="Times New Roman"/>
                <w:sz w:val="20"/>
                <w:szCs w:val="20"/>
              </w:rPr>
              <w:t>IZVRŠITELJI</w:t>
            </w:r>
          </w:p>
        </w:tc>
      </w:tr>
      <w:tr w:rsidR="00A16D98" w:rsidRPr="00A2417E" w14:paraId="75C4726C" w14:textId="77777777" w:rsidTr="00A46157">
        <w:trPr>
          <w:trHeight w:val="2987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32F" w14:textId="77777777" w:rsidR="00A16D98" w:rsidRPr="002A6B4E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A6B4E">
              <w:rPr>
                <w:rFonts w:cs="Times New Roman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0A01" w14:textId="77777777" w:rsidR="00A16D98" w:rsidRPr="002A6B4E" w:rsidRDefault="00A16D98" w:rsidP="004D3344">
            <w:pPr>
              <w:pStyle w:val="Bezproreda"/>
              <w:jc w:val="left"/>
              <w:rPr>
                <w:rFonts w:cs="Times New Roman"/>
                <w:sz w:val="20"/>
                <w:szCs w:val="20"/>
                <w:lang w:eastAsia="hr-HR"/>
              </w:rPr>
            </w:pPr>
            <w:r w:rsidRPr="002A6B4E">
              <w:rPr>
                <w:rFonts w:cs="Times New Roman"/>
                <w:sz w:val="20"/>
                <w:szCs w:val="20"/>
                <w:lang w:eastAsia="hr-HR"/>
              </w:rPr>
              <w:t xml:space="preserve">Organizacija spašavanja i raščišćavanja, zadaće sudionika i operativnih snaga civilne zaštite koje raspolažu kapacitetima u provedbi mjera </w:t>
            </w:r>
            <w:r w:rsidR="00783835" w:rsidRPr="002A6B4E">
              <w:rPr>
                <w:rFonts w:cs="Times New Roman"/>
                <w:sz w:val="20"/>
                <w:szCs w:val="20"/>
                <w:lang w:eastAsia="hr-HR"/>
              </w:rPr>
              <w:t xml:space="preserve">zaštite od posljedica </w:t>
            </w:r>
            <w:r w:rsidR="004D3344">
              <w:rPr>
                <w:rFonts w:cs="Times New Roman"/>
                <w:sz w:val="20"/>
                <w:szCs w:val="20"/>
                <w:lang w:eastAsia="hr-HR"/>
              </w:rPr>
              <w:t>požara otvorenog prostora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971" w14:textId="77777777" w:rsidR="00A16D98" w:rsidRPr="002A6B4E" w:rsidRDefault="00A16D98" w:rsidP="00DD4722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>Stožer utvr</w:t>
            </w:r>
            <w:r w:rsidR="00783835" w:rsidRPr="002A6B4E">
              <w:rPr>
                <w:sz w:val="20"/>
                <w:szCs w:val="20"/>
              </w:rPr>
              <w:t>đuje prioritete postupanja na ugroženom području</w:t>
            </w:r>
            <w:r w:rsidRPr="002A6B4E">
              <w:rPr>
                <w:sz w:val="20"/>
                <w:szCs w:val="20"/>
              </w:rPr>
              <w:t>. Nakon analize  Stožer određuje mobilizaciju materijalno–tehničkih sredstava.</w:t>
            </w:r>
          </w:p>
          <w:p w14:paraId="6D11BCEA" w14:textId="77777777" w:rsidR="00A16D98" w:rsidRPr="002A6B4E" w:rsidRDefault="00A16D98" w:rsidP="00DD4722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 xml:space="preserve">Ako postojeće snage i materijalna </w:t>
            </w:r>
            <w:r w:rsidR="00CD4DE6">
              <w:rPr>
                <w:sz w:val="20"/>
                <w:szCs w:val="20"/>
              </w:rPr>
              <w:t>sredstva nisu dovoljna N</w:t>
            </w:r>
            <w:r w:rsidRPr="002A6B4E">
              <w:rPr>
                <w:sz w:val="20"/>
                <w:szCs w:val="20"/>
              </w:rPr>
              <w:t>ačelnik</w:t>
            </w:r>
            <w:r w:rsidR="00CD4DE6">
              <w:rPr>
                <w:sz w:val="20"/>
                <w:szCs w:val="20"/>
              </w:rPr>
              <w:t xml:space="preserve"> općine</w:t>
            </w:r>
            <w:r w:rsidRPr="002A6B4E">
              <w:rPr>
                <w:sz w:val="20"/>
                <w:szCs w:val="20"/>
              </w:rPr>
              <w:t xml:space="preserve"> traži pomoć od  </w:t>
            </w:r>
            <w:r w:rsidR="00CD4DE6">
              <w:rPr>
                <w:sz w:val="20"/>
                <w:szCs w:val="20"/>
              </w:rPr>
              <w:t>Dubrovačke</w:t>
            </w:r>
            <w:r w:rsidR="004D3344">
              <w:rPr>
                <w:sz w:val="20"/>
                <w:szCs w:val="20"/>
              </w:rPr>
              <w:t xml:space="preserve"> županije</w:t>
            </w:r>
            <w:r w:rsidRPr="002A6B4E">
              <w:rPr>
                <w:sz w:val="20"/>
                <w:szCs w:val="20"/>
              </w:rPr>
              <w:t>.</w:t>
            </w:r>
          </w:p>
          <w:p w14:paraId="5C89472E" w14:textId="77777777" w:rsidR="002A6B4E" w:rsidRPr="002A6B4E" w:rsidRDefault="00A16D98" w:rsidP="0026513B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 xml:space="preserve">Sigurnim zonama u ugroženom području mogu se definirati svi otvoreni prostori na udaljenosti </w:t>
            </w:r>
            <w:r w:rsidR="002A6B4E" w:rsidRPr="002A6B4E">
              <w:rPr>
                <w:sz w:val="20"/>
                <w:szCs w:val="20"/>
              </w:rPr>
              <w:t xml:space="preserve">do 100 metara od mjesta izbijanja </w:t>
            </w:r>
            <w:r w:rsidR="004D3344">
              <w:rPr>
                <w:sz w:val="20"/>
                <w:szCs w:val="20"/>
              </w:rPr>
              <w:t>požara</w:t>
            </w:r>
            <w:r w:rsidRPr="002A6B4E">
              <w:rPr>
                <w:sz w:val="20"/>
                <w:szCs w:val="20"/>
              </w:rPr>
              <w:t xml:space="preserve">. </w:t>
            </w:r>
          </w:p>
          <w:p w14:paraId="197C9863" w14:textId="77777777" w:rsidR="00A16D98" w:rsidRPr="002A6B4E" w:rsidRDefault="00A16D98" w:rsidP="0026513B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>Evakuacija i zbrinjavanje stanovništva.</w:t>
            </w:r>
          </w:p>
          <w:p w14:paraId="5BEEDE49" w14:textId="77777777" w:rsidR="00A16D98" w:rsidRPr="002A6B4E" w:rsidRDefault="00A16D98" w:rsidP="00DD4722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 xml:space="preserve">U početku je najvažnije osigurati prohodnost putova i osigurati </w:t>
            </w:r>
            <w:r w:rsidR="004D3344">
              <w:rPr>
                <w:sz w:val="20"/>
                <w:szCs w:val="20"/>
              </w:rPr>
              <w:t>dovoljno vode</w:t>
            </w:r>
            <w:r w:rsidRPr="002A6B4E">
              <w:rPr>
                <w:sz w:val="20"/>
                <w:szCs w:val="20"/>
              </w:rPr>
              <w:t xml:space="preserve">, kako za </w:t>
            </w:r>
            <w:r w:rsidR="004D3344">
              <w:rPr>
                <w:sz w:val="20"/>
                <w:szCs w:val="20"/>
              </w:rPr>
              <w:t xml:space="preserve">vatrogasce u svrhu gašenja požara, tako i za </w:t>
            </w:r>
            <w:r w:rsidRPr="002A6B4E">
              <w:rPr>
                <w:sz w:val="20"/>
                <w:szCs w:val="20"/>
              </w:rPr>
              <w:t>sna</w:t>
            </w:r>
            <w:r w:rsidR="00A46157">
              <w:rPr>
                <w:sz w:val="20"/>
                <w:szCs w:val="20"/>
              </w:rPr>
              <w:t xml:space="preserve">ge sustava civilne zaštite,  i </w:t>
            </w:r>
            <w:r w:rsidRPr="002A6B4E">
              <w:rPr>
                <w:sz w:val="20"/>
                <w:szCs w:val="20"/>
              </w:rPr>
              <w:t xml:space="preserve"> stanovništvo</w:t>
            </w:r>
            <w:r w:rsidR="00A46157">
              <w:rPr>
                <w:sz w:val="20"/>
                <w:szCs w:val="20"/>
              </w:rPr>
              <w:t xml:space="preserve"> u svrhu pića</w:t>
            </w:r>
            <w:r w:rsidRPr="002A6B4E">
              <w:rPr>
                <w:sz w:val="20"/>
                <w:szCs w:val="20"/>
              </w:rPr>
              <w:t>.</w:t>
            </w:r>
          </w:p>
          <w:p w14:paraId="75D28BEE" w14:textId="77777777" w:rsidR="00A16D98" w:rsidRPr="002A6B4E" w:rsidRDefault="00A16D98" w:rsidP="00CD4DE6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 xml:space="preserve">Komunikacija sa Stožerom civilne zaštite </w:t>
            </w:r>
            <w:r w:rsidR="00CD4DE6">
              <w:rPr>
                <w:sz w:val="20"/>
                <w:szCs w:val="20"/>
              </w:rPr>
              <w:t>Općine</w:t>
            </w:r>
            <w:r w:rsidRPr="002A6B4E">
              <w:rPr>
                <w:sz w:val="20"/>
                <w:szCs w:val="20"/>
              </w:rPr>
              <w:t xml:space="preserve"> i drugim operativnim snagama sustava civilne zaštite ostvaruje se putem telefona, mobitela ili e-mailom.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B81" w14:textId="77777777" w:rsidR="00A16D98" w:rsidRPr="00A46157" w:rsidRDefault="00A16D98" w:rsidP="00A46157">
            <w:pPr>
              <w:pStyle w:val="Bezproreda"/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>Za prikupljanje informacija o stanju prohodnosti prometnica zadužen je:</w:t>
            </w:r>
          </w:p>
          <w:p w14:paraId="5ADEE905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Koordinator na lokaciji </w:t>
            </w:r>
          </w:p>
          <w:p w14:paraId="349E57C2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Stožer civilne zaštite </w:t>
            </w:r>
            <w:r w:rsidR="00CD4DE6">
              <w:rPr>
                <w:sz w:val="20"/>
                <w:szCs w:val="20"/>
              </w:rPr>
              <w:t>Općine Janjina</w:t>
            </w:r>
          </w:p>
          <w:p w14:paraId="39997961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jc w:val="left"/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PU </w:t>
            </w:r>
            <w:r w:rsidR="00CD4DE6">
              <w:rPr>
                <w:sz w:val="20"/>
                <w:szCs w:val="20"/>
              </w:rPr>
              <w:t>Dubrovačka</w:t>
            </w:r>
            <w:r w:rsidRPr="00A46157">
              <w:rPr>
                <w:sz w:val="20"/>
                <w:szCs w:val="20"/>
              </w:rPr>
              <w:t xml:space="preserve"> – PP </w:t>
            </w:r>
            <w:r w:rsidR="00CD4DE6">
              <w:rPr>
                <w:sz w:val="20"/>
                <w:szCs w:val="20"/>
              </w:rPr>
              <w:t>Ston</w:t>
            </w:r>
          </w:p>
          <w:p w14:paraId="4FD25827" w14:textId="77777777" w:rsidR="00A16D98" w:rsidRPr="00A46157" w:rsidRDefault="00A46157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538CA8CF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Povjerenici civilne zaštite i njihovi zamjenici </w:t>
            </w:r>
          </w:p>
          <w:p w14:paraId="5634E277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HGSS – Stanica  </w:t>
            </w:r>
            <w:r w:rsidR="00CD4DE6">
              <w:rPr>
                <w:sz w:val="20"/>
                <w:szCs w:val="20"/>
              </w:rPr>
              <w:t>Orebić</w:t>
            </w:r>
            <w:r w:rsidRPr="00A46157">
              <w:rPr>
                <w:sz w:val="20"/>
                <w:szCs w:val="20"/>
              </w:rPr>
              <w:t xml:space="preserve"> </w:t>
            </w:r>
          </w:p>
          <w:p w14:paraId="45E0E432" w14:textId="77777777" w:rsidR="00A16D98" w:rsidRPr="00A46157" w:rsidRDefault="00A16D98" w:rsidP="00A46157">
            <w:pPr>
              <w:pStyle w:val="Bezproreda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MTS pravne osobe od interesa za sustav civilne zaštite </w:t>
            </w:r>
          </w:p>
          <w:p w14:paraId="5F9F1A65" w14:textId="77777777" w:rsidR="00A16D98" w:rsidRPr="002A6B4E" w:rsidRDefault="00A16D98" w:rsidP="00A46157">
            <w:pPr>
              <w:pStyle w:val="Bezproreda"/>
              <w:numPr>
                <w:ilvl w:val="0"/>
                <w:numId w:val="43"/>
              </w:numPr>
            </w:pPr>
            <w:r w:rsidRPr="00A46157">
              <w:rPr>
                <w:sz w:val="20"/>
                <w:szCs w:val="20"/>
              </w:rPr>
              <w:t>Udruge građana</w:t>
            </w:r>
            <w:r w:rsidRPr="002A6B4E">
              <w:t xml:space="preserve"> </w:t>
            </w:r>
          </w:p>
        </w:tc>
      </w:tr>
      <w:tr w:rsidR="00A16D98" w:rsidRPr="00A2417E" w14:paraId="7D24DC5F" w14:textId="77777777" w:rsidTr="002A6B4E">
        <w:trPr>
          <w:trHeight w:val="725"/>
          <w:jc w:val="center"/>
        </w:trPr>
        <w:tc>
          <w:tcPr>
            <w:tcW w:w="24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6A25B" w14:textId="77777777" w:rsidR="00A16D98" w:rsidRPr="002A6B4E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F401E" w14:textId="77777777" w:rsidR="00A16D98" w:rsidRPr="002A6B4E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AE8B" w14:textId="77777777" w:rsidR="00A16D98" w:rsidRPr="002A6B4E" w:rsidRDefault="00A16D98" w:rsidP="002A6B4E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>Evakuacija i zbrinjavanje stanovništva, materijalnih i kulturnih dobara, osobna i uzajamna pomoć izvršiti će snage sustava civilne zaštite.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3D6B2" w14:textId="77777777" w:rsidR="00A16D98" w:rsidRPr="002A6B4E" w:rsidRDefault="00A46157" w:rsidP="00A4615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09306074" w14:textId="77777777" w:rsidR="00A16D98" w:rsidRPr="00A46157" w:rsidRDefault="00A16D98" w:rsidP="00A4615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A6B4E">
              <w:rPr>
                <w:sz w:val="20"/>
                <w:szCs w:val="20"/>
              </w:rPr>
              <w:t>Povjerenici civilne zaštite i njihovi zamjenici</w:t>
            </w:r>
            <w:r w:rsidRPr="002A6B4E">
              <w:rPr>
                <w:b/>
                <w:i/>
                <w:sz w:val="20"/>
                <w:szCs w:val="20"/>
              </w:rPr>
              <w:t xml:space="preserve"> </w:t>
            </w:r>
          </w:p>
          <w:p w14:paraId="1FF10A4D" w14:textId="77777777" w:rsidR="00A46157" w:rsidRPr="00A46157" w:rsidRDefault="00A46157" w:rsidP="00A46157">
            <w:pPr>
              <w:pStyle w:val="Bezprored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46157">
              <w:rPr>
                <w:sz w:val="20"/>
                <w:szCs w:val="20"/>
              </w:rPr>
              <w:t xml:space="preserve">MTS pravne osobe od interesa za sustav civilne zaštite </w:t>
            </w:r>
          </w:p>
        </w:tc>
      </w:tr>
      <w:tr w:rsidR="00A16D98" w:rsidRPr="00A2417E" w14:paraId="66544FA3" w14:textId="77777777" w:rsidTr="002A6B4E">
        <w:trPr>
          <w:trHeight w:val="254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735C1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lang w:eastAsia="hr-HR"/>
              </w:rPr>
            </w:pPr>
          </w:p>
          <w:p w14:paraId="1D45EFBA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lang w:eastAsia="hr-HR"/>
              </w:rPr>
            </w:pPr>
          </w:p>
          <w:p w14:paraId="1F0A7868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b/>
                <w:sz w:val="20"/>
                <w:szCs w:val="20"/>
                <w:shd w:val="clear" w:color="auto" w:fill="DEEAF6" w:themeFill="accent1" w:themeFillTint="33"/>
                <w:lang w:eastAsia="hr-HR"/>
              </w:rPr>
              <w:t>2.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B9EC58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sz w:val="20"/>
                <w:szCs w:val="20"/>
                <w:lang w:eastAsia="hr-HR"/>
              </w:rPr>
              <w:t xml:space="preserve">Organizacija zaštite objekata kritične infrastrukture i suradnja s pravnim osobama s ciljem osiguranja kontinuiteta njihovog djelovanja 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ACDF82" w14:textId="77777777" w:rsidR="00A16D98" w:rsidRPr="00134922" w:rsidRDefault="00A16D98" w:rsidP="00DD4722">
            <w:pPr>
              <w:pStyle w:val="Odlomakpopis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Vlasnici kritične infrastrukture.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75BA9" w14:textId="77777777" w:rsidR="00A16D98" w:rsidRPr="00134922" w:rsidRDefault="00A16D98" w:rsidP="008D09F6">
            <w:pPr>
              <w:pStyle w:val="Odlomakpopisa"/>
              <w:ind w:left="360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A16D98" w:rsidRPr="00A2417E" w14:paraId="61D17978" w14:textId="77777777" w:rsidTr="008D09F6">
        <w:trPr>
          <w:trHeight w:val="286"/>
          <w:jc w:val="center"/>
        </w:trPr>
        <w:tc>
          <w:tcPr>
            <w:tcW w:w="24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8019F9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7145AB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A6D49" w14:textId="77777777" w:rsidR="00A16D98" w:rsidRPr="00134922" w:rsidRDefault="00A16D98" w:rsidP="00DD4722">
            <w:pPr>
              <w:pStyle w:val="Odlomakpopisa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Uspostava opskrbe električnom energijom.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441" w14:textId="77777777" w:rsidR="00A16D98" w:rsidRPr="00A46157" w:rsidRDefault="00CD4DE6" w:rsidP="00A46157">
            <w:pPr>
              <w:pStyle w:val="Bezproreda1"/>
              <w:numPr>
                <w:ilvl w:val="0"/>
                <w:numId w:val="29"/>
              </w:numPr>
              <w:rPr>
                <w:color w:val="000000"/>
                <w:sz w:val="20"/>
                <w:szCs w:val="20"/>
              </w:rPr>
            </w:pPr>
            <w:r w:rsidRPr="00B25ADE">
              <w:rPr>
                <w:sz w:val="20"/>
                <w:szCs w:val="20"/>
                <w:lang w:val="en-US"/>
              </w:rPr>
              <w:t xml:space="preserve">HEP </w:t>
            </w:r>
            <w:r>
              <w:rPr>
                <w:sz w:val="20"/>
                <w:szCs w:val="20"/>
                <w:lang w:val="en-US"/>
              </w:rPr>
              <w:t>d.o.o. Elektrojug Dubrovnik – PJ Pijavičino</w:t>
            </w:r>
          </w:p>
        </w:tc>
      </w:tr>
      <w:tr w:rsidR="00A16D98" w:rsidRPr="00A2417E" w14:paraId="2BBC85DA" w14:textId="77777777" w:rsidTr="008D09F6">
        <w:trPr>
          <w:trHeight w:val="286"/>
          <w:jc w:val="center"/>
        </w:trPr>
        <w:tc>
          <w:tcPr>
            <w:tcW w:w="24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2DD1DA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86931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86434" w14:textId="77777777" w:rsidR="00A16D98" w:rsidRPr="00134922" w:rsidRDefault="00A16D98" w:rsidP="00DD4722">
            <w:pPr>
              <w:pStyle w:val="Odlomakpopisa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Redovna opskrba vodom.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BD8" w14:textId="77777777" w:rsidR="00A16D98" w:rsidRPr="00134922" w:rsidRDefault="00CD4DE6" w:rsidP="00DD472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NPKLM vodovod d.o.o.</w:t>
            </w:r>
          </w:p>
        </w:tc>
      </w:tr>
      <w:tr w:rsidR="00A16D98" w:rsidRPr="00A2417E" w14:paraId="5BB407E3" w14:textId="77777777" w:rsidTr="008D09F6">
        <w:trPr>
          <w:trHeight w:val="286"/>
          <w:jc w:val="center"/>
        </w:trPr>
        <w:tc>
          <w:tcPr>
            <w:tcW w:w="24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67C180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774C60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9E8E5" w14:textId="77777777" w:rsidR="00A16D98" w:rsidRPr="00134922" w:rsidRDefault="00A16D98" w:rsidP="00DD4722">
            <w:pPr>
              <w:pStyle w:val="Odlomakpopisa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Popravak telefonske infrastrukture (područne centrale, mjesne centrale, repetitori, stupovi nadzemne telefonske mreže).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A4B" w14:textId="77777777" w:rsidR="00A16D98" w:rsidRPr="00134922" w:rsidRDefault="00A16D98" w:rsidP="00DD472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Hrvatski telekom d.d.  </w:t>
            </w:r>
          </w:p>
        </w:tc>
      </w:tr>
      <w:tr w:rsidR="00A16D98" w:rsidRPr="00A2417E" w14:paraId="364457DF" w14:textId="77777777" w:rsidTr="008D09F6">
        <w:trPr>
          <w:trHeight w:val="286"/>
          <w:jc w:val="center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64BC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84EE6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795CA" w14:textId="77777777" w:rsidR="00A16D98" w:rsidRPr="00134922" w:rsidRDefault="00A16D98" w:rsidP="00DD4722">
            <w:pPr>
              <w:pStyle w:val="Odlomakpopisa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Popravak prometnica.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DC1" w14:textId="77777777" w:rsidR="00A16D98" w:rsidRPr="00134922" w:rsidRDefault="00CD4DE6" w:rsidP="00DD472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ŽUC DU</w:t>
            </w:r>
            <w:r w:rsidR="00A16D98" w:rsidRPr="00134922">
              <w:rPr>
                <w:sz w:val="20"/>
                <w:szCs w:val="20"/>
              </w:rPr>
              <w:t xml:space="preserve">Ž </w:t>
            </w:r>
          </w:p>
        </w:tc>
      </w:tr>
      <w:tr w:rsidR="00A16D98" w:rsidRPr="00A2417E" w14:paraId="54315545" w14:textId="77777777" w:rsidTr="008D09F6">
        <w:trPr>
          <w:trHeight w:val="495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C8EB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E771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sz w:val="20"/>
                <w:szCs w:val="20"/>
                <w:lang w:eastAsia="hr-HR"/>
              </w:rPr>
              <w:t>Organizacija gašenja požara (nositelji, zadaće, nadležnosti i usklađivanje)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AE7F" w14:textId="77777777" w:rsidR="00A16D98" w:rsidRPr="00134922" w:rsidRDefault="00A16D98" w:rsidP="00DD4722">
            <w:pPr>
              <w:pStyle w:val="Odlomakpopis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Sukladno Planu zaštite od požara i tehničko – tehnoloških nesreća Stožer prikuplja informacije o požarnoj opasnosti, a za to je zadužen je član Stožera za protupožarnu zaštitu.</w:t>
            </w:r>
          </w:p>
          <w:p w14:paraId="37210CD0" w14:textId="77777777" w:rsidR="00A16D98" w:rsidRPr="00134922" w:rsidRDefault="00A16D98" w:rsidP="00DD4722">
            <w:pPr>
              <w:pStyle w:val="Odlomakpopis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Stožer se informira o potrebi isključenja pojedinih energenta na prijedlog člana Stožera za protupožarnu zaštitu.</w:t>
            </w:r>
          </w:p>
          <w:p w14:paraId="09F556C4" w14:textId="77777777" w:rsidR="00A16D98" w:rsidRPr="00134922" w:rsidRDefault="00CD4DE6" w:rsidP="008F2116">
            <w:pPr>
              <w:pStyle w:val="Odlomakpopis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Ukoliko</w:t>
            </w:r>
            <w:r w:rsidR="008F2116">
              <w:rPr>
                <w:sz w:val="20"/>
                <w:szCs w:val="20"/>
              </w:rPr>
              <w:t xml:space="preserve"> DVD</w:t>
            </w:r>
            <w:r w:rsidR="00A16D98" w:rsidRPr="00134922">
              <w:rPr>
                <w:sz w:val="20"/>
                <w:szCs w:val="20"/>
              </w:rPr>
              <w:t xml:space="preserve"> ne mogu sanirati nastalu požarnu opasnost zatražit će pomoć od županijskog vatrogasnog zapovjednika sukladno Procjeni ugroženosti od požara i tehnoloških eksplozija </w:t>
            </w:r>
            <w:r w:rsidR="008F2116">
              <w:rPr>
                <w:sz w:val="20"/>
                <w:szCs w:val="20"/>
              </w:rPr>
              <w:t>Istarske</w:t>
            </w:r>
            <w:r w:rsidR="00A16D98" w:rsidRPr="00134922">
              <w:rPr>
                <w:sz w:val="20"/>
                <w:szCs w:val="20"/>
              </w:rPr>
              <w:t xml:space="preserve"> županije.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5075" w14:textId="77777777" w:rsidR="00A16D98" w:rsidRPr="00134922" w:rsidRDefault="008F2116" w:rsidP="00DD4722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DVD</w:t>
            </w:r>
          </w:p>
        </w:tc>
      </w:tr>
      <w:tr w:rsidR="00A16D98" w:rsidRPr="00A2417E" w14:paraId="73EE08D9" w14:textId="77777777" w:rsidTr="008D09F6">
        <w:trPr>
          <w:trHeight w:val="328"/>
          <w:jc w:val="center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11DD3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1CE64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  <w:r w:rsidRPr="00134922">
              <w:rPr>
                <w:rFonts w:cs="Times New Roman"/>
                <w:sz w:val="20"/>
                <w:szCs w:val="20"/>
                <w:lang w:eastAsia="hr-HR"/>
              </w:rPr>
              <w:t>Organizacija reguliranje prometa i osiguranja za vrijeme intervencija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7A8A4" w14:textId="77777777" w:rsidR="00A16D98" w:rsidRPr="00134922" w:rsidRDefault="00A16D98" w:rsidP="00DD4722">
            <w:pPr>
              <w:pStyle w:val="Odlomakpopisa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Stožer definira prioritete u sanaciji prometnica.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DA55E" w14:textId="77777777" w:rsidR="00A16D98" w:rsidRPr="00134922" w:rsidRDefault="00A16D98" w:rsidP="008F2116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Stožer civilne zaštite </w:t>
            </w:r>
            <w:r w:rsidR="00134922" w:rsidRPr="00134922">
              <w:rPr>
                <w:sz w:val="20"/>
                <w:szCs w:val="20"/>
              </w:rPr>
              <w:t xml:space="preserve">Grada </w:t>
            </w:r>
            <w:r w:rsidR="008F2116">
              <w:rPr>
                <w:sz w:val="20"/>
                <w:szCs w:val="20"/>
              </w:rPr>
              <w:t>Buzeta</w:t>
            </w:r>
          </w:p>
        </w:tc>
      </w:tr>
      <w:tr w:rsidR="00A16D98" w:rsidRPr="00A2417E" w14:paraId="3D786DAA" w14:textId="77777777" w:rsidTr="00FC40E9">
        <w:trPr>
          <w:trHeight w:val="1575"/>
          <w:jc w:val="center"/>
        </w:trPr>
        <w:tc>
          <w:tcPr>
            <w:tcW w:w="2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656DC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EEA4B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F3E2E" w14:textId="77777777" w:rsidR="00A16D98" w:rsidRPr="00134922" w:rsidRDefault="00A16D98" w:rsidP="00DD4722">
            <w:pPr>
              <w:pStyle w:val="Odlomakpopisa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Za ocjenu stanja i funkcionalnosti prometa i komunikacijskih sustava i objekata zadužena je Policijska postaja i Županijska uprava za ceste.</w:t>
            </w:r>
          </w:p>
          <w:p w14:paraId="090112CD" w14:textId="77777777" w:rsidR="00A16D98" w:rsidRPr="00134922" w:rsidRDefault="00A16D98" w:rsidP="00DD4722">
            <w:pPr>
              <w:pStyle w:val="Odlomakpopisa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Donošenje odluka o zabrani cestovnog  prometa poradi zaštite sigurnosti na pogođenom području u nadležnosti je Policijske postaje.</w:t>
            </w:r>
          </w:p>
          <w:p w14:paraId="093AFCC5" w14:textId="77777777" w:rsidR="00A16D98" w:rsidRPr="00134922" w:rsidRDefault="00A16D98" w:rsidP="00DD4722">
            <w:pPr>
              <w:pStyle w:val="Odlomakpopisa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Uspostavu alternativnih prometnih pravaca, nadzor i čuvanje ugroženog područja provodi Policijska postaja.</w:t>
            </w:r>
          </w:p>
          <w:p w14:paraId="36FFD12E" w14:textId="77777777" w:rsidR="00A16D98" w:rsidRPr="00134922" w:rsidRDefault="00A16D98" w:rsidP="00DD4722">
            <w:pPr>
              <w:pStyle w:val="Odlomakpopisa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Osiguravanje područja intervencija provodi Policijska postaja.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8B3B8" w14:textId="77777777" w:rsidR="00A16D98" w:rsidRPr="00134922" w:rsidRDefault="00A16D98" w:rsidP="00DD4722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PU </w:t>
            </w:r>
            <w:r w:rsidR="00CD4DE6">
              <w:rPr>
                <w:sz w:val="20"/>
                <w:szCs w:val="20"/>
              </w:rPr>
              <w:t>Dubrovačka</w:t>
            </w:r>
            <w:r w:rsidRPr="00134922">
              <w:rPr>
                <w:sz w:val="20"/>
                <w:szCs w:val="20"/>
              </w:rPr>
              <w:t xml:space="preserve"> – PP </w:t>
            </w:r>
            <w:r w:rsidR="00CD4DE6">
              <w:rPr>
                <w:sz w:val="20"/>
                <w:szCs w:val="20"/>
              </w:rPr>
              <w:t>Ston</w:t>
            </w:r>
          </w:p>
          <w:p w14:paraId="5BE363CC" w14:textId="77777777" w:rsidR="00A16D98" w:rsidRPr="00134922" w:rsidRDefault="00CD4DE6" w:rsidP="00DD4722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ŽUC DU</w:t>
            </w:r>
            <w:r w:rsidR="00A16D98" w:rsidRPr="00134922">
              <w:rPr>
                <w:sz w:val="20"/>
                <w:szCs w:val="20"/>
              </w:rPr>
              <w:t>Ž</w:t>
            </w:r>
          </w:p>
        </w:tc>
      </w:tr>
      <w:tr w:rsidR="00A16D98" w:rsidRPr="00A2417E" w14:paraId="13C36398" w14:textId="77777777" w:rsidTr="008D09F6">
        <w:trPr>
          <w:trHeight w:val="446"/>
          <w:jc w:val="center"/>
        </w:trPr>
        <w:tc>
          <w:tcPr>
            <w:tcW w:w="2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3E374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9CB09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CF57" w14:textId="77777777" w:rsidR="00A16D98" w:rsidRPr="00134922" w:rsidRDefault="00A16D98" w:rsidP="00DD4722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Osiguranje telekomunikacijskih veza korisnika s prednošću uporabe provodi HT d.d.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29DB" w14:textId="77777777" w:rsidR="00A16D98" w:rsidRPr="00134922" w:rsidRDefault="00A16D98" w:rsidP="00DD4722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Hrvatski telekom d.d. </w:t>
            </w:r>
          </w:p>
        </w:tc>
      </w:tr>
      <w:tr w:rsidR="00A16D98" w:rsidRPr="00A2417E" w14:paraId="49C425D7" w14:textId="77777777" w:rsidTr="008D09F6">
        <w:trPr>
          <w:trHeight w:val="497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07810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9AE057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sz w:val="20"/>
                <w:szCs w:val="20"/>
                <w:lang w:eastAsia="hr-HR"/>
              </w:rPr>
              <w:t>Organizaciju pružanja medicinske pomoći i medicinskog zbrinjavanja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D6457" w14:textId="77777777" w:rsidR="00A16D98" w:rsidRPr="00134922" w:rsidRDefault="00A16D98" w:rsidP="00DD4722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Stožer prikuplja informacije o stanju objekata za pružanje zdravstvenih usluga, a za to je zadužen član Stožera za zdravstveno zbrinjavanje. Stožer prikuplja informacije o stanju medicinske opreme i zaliha lijekova te sanitetskog materijala.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F2550" w14:textId="77777777" w:rsidR="00A16D98" w:rsidRPr="00134922" w:rsidRDefault="00A16D98" w:rsidP="00DD4722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Koordinator na lokaciji </w:t>
            </w:r>
          </w:p>
          <w:p w14:paraId="33E74162" w14:textId="77777777" w:rsidR="00A16D98" w:rsidRPr="00134922" w:rsidRDefault="00A16D98" w:rsidP="00CD4DE6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Stožer civilne zaštite </w:t>
            </w:r>
            <w:r w:rsidR="00CD4DE6">
              <w:rPr>
                <w:sz w:val="20"/>
                <w:szCs w:val="20"/>
              </w:rPr>
              <w:t>Općine Janjina</w:t>
            </w:r>
          </w:p>
        </w:tc>
      </w:tr>
      <w:tr w:rsidR="00A16D98" w:rsidRPr="00A2417E" w14:paraId="10BC496F" w14:textId="77777777" w:rsidTr="008D09F6">
        <w:trPr>
          <w:trHeight w:val="1344"/>
          <w:jc w:val="center"/>
        </w:trPr>
        <w:tc>
          <w:tcPr>
            <w:tcW w:w="24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C8FC3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53D97A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AC22F" w14:textId="77777777" w:rsidR="00A16D98" w:rsidRPr="00134922" w:rsidRDefault="00A16D98" w:rsidP="00CD4DE6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Prvu pomoć pružiti će Zavod za hitnu medicinu i  Gradsko društvo Crvenog križa </w:t>
            </w:r>
            <w:r w:rsidR="00CD4DE6">
              <w:rPr>
                <w:sz w:val="20"/>
                <w:szCs w:val="20"/>
              </w:rPr>
              <w:t>Dubrovnik</w:t>
            </w:r>
            <w:r w:rsidRPr="00134922">
              <w:rPr>
                <w:sz w:val="20"/>
                <w:szCs w:val="20"/>
              </w:rPr>
              <w:t>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886D01" w14:textId="77777777" w:rsidR="00A16D98" w:rsidRPr="00134922" w:rsidRDefault="00A16D98" w:rsidP="00DD4722">
            <w:pPr>
              <w:pStyle w:val="Odlomakpopis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Z</w:t>
            </w:r>
            <w:r w:rsidR="00CD4DE6">
              <w:rPr>
                <w:sz w:val="20"/>
                <w:szCs w:val="20"/>
              </w:rPr>
              <w:t>avod za hitnu medicinu DU</w:t>
            </w:r>
            <w:r w:rsidRPr="00134922">
              <w:rPr>
                <w:sz w:val="20"/>
                <w:szCs w:val="20"/>
              </w:rPr>
              <w:t xml:space="preserve">Ž – ispostava </w:t>
            </w:r>
            <w:r w:rsidR="00383844">
              <w:rPr>
                <w:sz w:val="20"/>
                <w:szCs w:val="20"/>
              </w:rPr>
              <w:t>Orebić</w:t>
            </w:r>
          </w:p>
          <w:p w14:paraId="42CA875F" w14:textId="77777777" w:rsidR="00A16D98" w:rsidRPr="00134922" w:rsidRDefault="00A16D98" w:rsidP="00DD4722">
            <w:pPr>
              <w:pStyle w:val="Odlomakpopis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Ordinacije opće medicine </w:t>
            </w:r>
          </w:p>
          <w:p w14:paraId="6EB81057" w14:textId="77777777" w:rsidR="00A16D98" w:rsidRPr="00134922" w:rsidRDefault="00A16D98" w:rsidP="00DD4722">
            <w:pPr>
              <w:pStyle w:val="Odlomakpopis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Gradsko društvo Crvenog križa </w:t>
            </w:r>
            <w:r w:rsidR="00383844">
              <w:rPr>
                <w:sz w:val="20"/>
                <w:szCs w:val="20"/>
              </w:rPr>
              <w:t>Dubrovnik</w:t>
            </w:r>
          </w:p>
          <w:p w14:paraId="2657C8BA" w14:textId="77777777" w:rsidR="00A16D98" w:rsidRPr="00134922" w:rsidRDefault="00A16D98" w:rsidP="00383844">
            <w:pPr>
              <w:pStyle w:val="Odlomakpopis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HGSS – Stanica </w:t>
            </w:r>
            <w:r w:rsidR="00383844">
              <w:rPr>
                <w:sz w:val="20"/>
                <w:szCs w:val="20"/>
              </w:rPr>
              <w:t>Orebić</w:t>
            </w:r>
          </w:p>
        </w:tc>
      </w:tr>
      <w:tr w:rsidR="00A16D98" w:rsidRPr="00A2417E" w14:paraId="4AFD89F2" w14:textId="77777777" w:rsidTr="008D09F6">
        <w:trPr>
          <w:trHeight w:val="744"/>
          <w:jc w:val="center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F434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304D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9C3" w14:textId="77777777" w:rsidR="00A16D98" w:rsidRPr="00134922" w:rsidRDefault="00A16D98" w:rsidP="00DD4722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Opskrbu sanitetskim materijalom i opremom osigurati će Ordinacije opće medicine.</w:t>
            </w:r>
          </w:p>
          <w:p w14:paraId="05E3DE59" w14:textId="77777777" w:rsidR="00A16D98" w:rsidRPr="00134922" w:rsidRDefault="00A16D98" w:rsidP="00383844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U slučaju potrebe, </w:t>
            </w:r>
            <w:r w:rsidR="004525ED">
              <w:rPr>
                <w:sz w:val="20"/>
                <w:szCs w:val="20"/>
              </w:rPr>
              <w:t>grado</w:t>
            </w:r>
            <w:r w:rsidRPr="00134922">
              <w:rPr>
                <w:sz w:val="20"/>
                <w:szCs w:val="20"/>
              </w:rPr>
              <w:t xml:space="preserve">načelnik, zatražiti će pomoć od  </w:t>
            </w:r>
            <w:r w:rsidR="00383844">
              <w:rPr>
                <w:sz w:val="20"/>
                <w:szCs w:val="20"/>
              </w:rPr>
              <w:t>Dubrovačke</w:t>
            </w:r>
            <w:r w:rsidRPr="00134922">
              <w:rPr>
                <w:sz w:val="20"/>
                <w:szCs w:val="20"/>
              </w:rPr>
              <w:t xml:space="preserve"> županije.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9D3B" w14:textId="77777777" w:rsidR="00A16D98" w:rsidRPr="00134922" w:rsidRDefault="00A16D98" w:rsidP="00DD4722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Ordinacije opće medicine </w:t>
            </w:r>
          </w:p>
        </w:tc>
      </w:tr>
      <w:tr w:rsidR="00A16D98" w:rsidRPr="00A2417E" w14:paraId="76DD346C" w14:textId="77777777" w:rsidTr="008D09F6">
        <w:trPr>
          <w:trHeight w:val="495"/>
          <w:jc w:val="center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1D483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2B05C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134922">
              <w:rPr>
                <w:rFonts w:cs="Times New Roman"/>
                <w:sz w:val="20"/>
                <w:szCs w:val="20"/>
                <w:lang w:eastAsia="hr-HR"/>
              </w:rPr>
              <w:t>Organizacija pružanja veterinarske pomoći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7C30" w14:textId="77777777" w:rsidR="00A16D98" w:rsidRPr="00134922" w:rsidRDefault="00A16D98" w:rsidP="00DD4722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Stožer prikuplja informacije o stoci i domaćim životinjama koje su bez nadzora.</w:t>
            </w:r>
          </w:p>
          <w:p w14:paraId="37ECEAD8" w14:textId="77777777" w:rsidR="00A16D98" w:rsidRPr="00134922" w:rsidRDefault="00A16D98" w:rsidP="00DD4722">
            <w:pPr>
              <w:pStyle w:val="Odlomakpopis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Načelnik Stožera traži podatke od povjerenika za civilnu zaštitu za:</w:t>
            </w:r>
          </w:p>
          <w:p w14:paraId="16FA3D28" w14:textId="77777777" w:rsidR="00A16D98" w:rsidRPr="00134922" w:rsidRDefault="00A16D98" w:rsidP="00265EDD">
            <w:pPr>
              <w:numPr>
                <w:ilvl w:val="0"/>
                <w:numId w:val="33"/>
              </w:numPr>
              <w:spacing w:after="0" w:line="240" w:lineRule="auto"/>
              <w:ind w:left="69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49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stanja i provođenje aktivnosti na sprječavanju nastanka ili širenja zaraznih bolesti,</w:t>
            </w:r>
          </w:p>
          <w:p w14:paraId="1908F576" w14:textId="77777777" w:rsidR="00A16D98" w:rsidRPr="00134922" w:rsidRDefault="00A16D98" w:rsidP="00265EDD">
            <w:pPr>
              <w:numPr>
                <w:ilvl w:val="0"/>
                <w:numId w:val="33"/>
              </w:numPr>
              <w:spacing w:after="0" w:line="240" w:lineRule="auto"/>
              <w:ind w:left="69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49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nadzor nad prometom i distribucijom namirnica životinjskog porijekla,</w:t>
            </w:r>
          </w:p>
          <w:p w14:paraId="07BD5FC0" w14:textId="77777777" w:rsidR="00A16D98" w:rsidRPr="00134922" w:rsidRDefault="00A16D98" w:rsidP="00265EDD">
            <w:pPr>
              <w:numPr>
                <w:ilvl w:val="0"/>
                <w:numId w:val="33"/>
              </w:numPr>
              <w:spacing w:after="0" w:line="240" w:lineRule="auto"/>
              <w:ind w:left="69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49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i zbrinjavanje životinja,</w:t>
            </w:r>
          </w:p>
          <w:p w14:paraId="070EFEDA" w14:textId="77777777" w:rsidR="00A16D98" w:rsidRPr="00134922" w:rsidRDefault="00A16D98" w:rsidP="00265EDD">
            <w:pPr>
              <w:numPr>
                <w:ilvl w:val="0"/>
                <w:numId w:val="33"/>
              </w:numPr>
              <w:spacing w:after="0" w:line="240" w:lineRule="auto"/>
              <w:ind w:left="69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49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liječenje, klanje ili eutanazija životinja i</w:t>
            </w:r>
          </w:p>
          <w:p w14:paraId="6553AA37" w14:textId="77777777" w:rsidR="00A16D98" w:rsidRPr="00134922" w:rsidRDefault="00A16D98" w:rsidP="00265EDD">
            <w:pPr>
              <w:numPr>
                <w:ilvl w:val="0"/>
                <w:numId w:val="33"/>
              </w:numPr>
              <w:spacing w:after="0" w:line="240" w:lineRule="auto"/>
              <w:ind w:left="69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49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druge provedbene aktivnosti.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296" w14:textId="77777777" w:rsidR="00134922" w:rsidRPr="00134922" w:rsidRDefault="00A16D98" w:rsidP="00876DDF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Veterinarska stanica </w:t>
            </w:r>
          </w:p>
          <w:p w14:paraId="3DC26FD5" w14:textId="77777777" w:rsidR="00A16D98" w:rsidRPr="00134922" w:rsidRDefault="00A16D98" w:rsidP="00876DDF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Lovačke udruge</w:t>
            </w:r>
          </w:p>
          <w:p w14:paraId="674901F6" w14:textId="77777777" w:rsidR="00A16D98" w:rsidRPr="00134922" w:rsidRDefault="00A16D98" w:rsidP="008D09F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16D98" w:rsidRPr="00A2417E" w14:paraId="32394416" w14:textId="77777777" w:rsidTr="008D09F6">
        <w:trPr>
          <w:trHeight w:val="1806"/>
          <w:jc w:val="center"/>
        </w:trPr>
        <w:tc>
          <w:tcPr>
            <w:tcW w:w="2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10F51" w14:textId="77777777" w:rsidR="00A16D98" w:rsidRPr="00134922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56879" w14:textId="77777777" w:rsidR="00A16D98" w:rsidRPr="00134922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FD4" w14:textId="77777777" w:rsidR="00A16D98" w:rsidRPr="00134922" w:rsidRDefault="00A16D98" w:rsidP="00DD4722">
            <w:pPr>
              <w:pStyle w:val="Odlomakpopis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Za organizaciju prikupljanja životinjskih leševa zadužena je Veterinarska stanica</w:t>
            </w:r>
            <w:r w:rsidR="00265EDD" w:rsidRPr="00134922">
              <w:rPr>
                <w:sz w:val="20"/>
                <w:szCs w:val="20"/>
              </w:rPr>
              <w:t xml:space="preserve">. </w:t>
            </w:r>
          </w:p>
          <w:p w14:paraId="593CE1A2" w14:textId="77777777" w:rsidR="00A16D98" w:rsidRPr="00134922" w:rsidRDefault="00A16D98" w:rsidP="00DD4722">
            <w:pPr>
              <w:pStyle w:val="Odlomakpopis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Praćenje stanja i provođenje aktivnosti na sprječavanju nastanka ili širenja zaraznih bolesti u nadležnosti je Zavoda za javno zdravstvo – Epidemiološki odjel.</w:t>
            </w:r>
          </w:p>
          <w:p w14:paraId="0FA8F7D8" w14:textId="77777777" w:rsidR="00A16D98" w:rsidRPr="00134922" w:rsidRDefault="00A16D98" w:rsidP="00DD4722">
            <w:pPr>
              <w:pStyle w:val="Odlomakpopis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Neškodljivo uklanjanje ranjenih, ozlijeđenih ili bolesnih životinja u nadležnosti je Veterinarska stanica </w:t>
            </w:r>
          </w:p>
          <w:p w14:paraId="6038D3D6" w14:textId="77777777" w:rsidR="00A16D98" w:rsidRPr="00134922" w:rsidRDefault="00A16D98" w:rsidP="00DD4722">
            <w:pPr>
              <w:pStyle w:val="Odlomakpopis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Pomoć u asanaciji mogu pružiti lovačke udruge.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A5AF" w14:textId="77777777" w:rsidR="00134922" w:rsidRPr="00134922" w:rsidRDefault="00A16D98" w:rsidP="002215C8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 xml:space="preserve">Veterinarska stanica </w:t>
            </w:r>
            <w:r w:rsidR="00827CE8">
              <w:rPr>
                <w:sz w:val="20"/>
                <w:szCs w:val="20"/>
              </w:rPr>
              <w:t>d.o.o.</w:t>
            </w:r>
            <w:r w:rsidR="00383844">
              <w:rPr>
                <w:sz w:val="20"/>
                <w:szCs w:val="20"/>
              </w:rPr>
              <w:t xml:space="preserve"> Dubrovnik</w:t>
            </w:r>
          </w:p>
          <w:p w14:paraId="15982ED3" w14:textId="77777777" w:rsidR="00A16D98" w:rsidRPr="00134922" w:rsidRDefault="00383844" w:rsidP="00DD4722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 DU</w:t>
            </w:r>
            <w:r w:rsidR="00A16D98" w:rsidRPr="00134922">
              <w:rPr>
                <w:sz w:val="20"/>
                <w:szCs w:val="20"/>
              </w:rPr>
              <w:t xml:space="preserve">Ž </w:t>
            </w:r>
          </w:p>
          <w:p w14:paraId="0A491F0F" w14:textId="77777777" w:rsidR="00A16D98" w:rsidRPr="00134922" w:rsidRDefault="00A16D98" w:rsidP="00DD4722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34922">
              <w:rPr>
                <w:sz w:val="20"/>
                <w:szCs w:val="20"/>
              </w:rPr>
              <w:t>Lovačke udruge</w:t>
            </w:r>
          </w:p>
        </w:tc>
      </w:tr>
      <w:tr w:rsidR="00A16D98" w:rsidRPr="00A2417E" w14:paraId="2DF37AD4" w14:textId="77777777" w:rsidTr="008D09F6">
        <w:trPr>
          <w:trHeight w:val="495"/>
          <w:jc w:val="center"/>
        </w:trPr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DE53" w14:textId="77777777" w:rsidR="00A16D98" w:rsidRPr="00265EDD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0A4A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sz w:val="20"/>
                <w:szCs w:val="20"/>
                <w:lang w:eastAsia="hr-HR"/>
              </w:rPr>
              <w:t>Organizacija provođenja evakuacije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8E" w14:textId="77777777" w:rsidR="00A16D98" w:rsidRPr="00265EDD" w:rsidRDefault="00383844" w:rsidP="008F21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265EDD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ačelnik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općine</w:t>
            </w:r>
            <w:r w:rsidR="00A16D98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uz konzultaciju sa Stožerom civilne zaštite donosi Odluku o provođenju evakuacije stanovništva, materijalnih dobara i životinja s određenog područja ovisno o događaju. Odluka se prenosi sredstvima javnog ili sredstvima lokalnog priopćavanja, a može se prenijeti i sustavima za uzbunjivanje, davanjem znaka nadolazeća opasnost i govornim informacijama. Također, Odluka se može prenijeti i putem povjerenika civilne zaštite za određeno područje ili dijelove naselja odnosno za područje pojedinog mjesnog odbora. Paralelno s dostavom obavijesti o provođenju evakuacije, pokreće se aktiviranje sustava evakuacije od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265EDD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ačelnika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općine</w:t>
            </w:r>
            <w:r w:rsidR="00A16D98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načelnika Stožera civilne zaštite i pravne osobe s prometnim sredstvima za prijevoz stanovništva kao i Policijske postaje poradi reguliranja prometa i osiguranja provođenja evakuacije te zaštite imovine osoba koje su napustile područje. Evakuacija/samoevakuacija stanovništva započinje nakon utvrđene opasnosti i zapovijedi za evakuaciju od </w:t>
            </w:r>
            <w:r w:rsidR="004525E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grado</w:t>
            </w:r>
            <w:r w:rsidR="00A16D98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načelnika. Evakuacija stanovništva provoditi će se uglavnom osobnim vozilima građana. Za početak provođenja evakuacije angažirati će se povjerenici civilne zaštite. Nakon mobilizacije, provođenje evakuacije izvršiti će </w:t>
            </w:r>
            <w:r w:rsidR="008F21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te</w:t>
            </w:r>
            <w:r w:rsidR="00A16D98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prijevoznici. Prihvat i smještaj ugroženog stanovništva vršiti će se u objektima navedenim u prilozima. Ekipe za prihvat ugroženog stanovništva čine ekipe za prihvat stanovništva na navedenim lokacijama. Pravce evakuacije zavisno od nastale situacije ugroženog područja odredit će Stožer u suradnji s Policijskom postajom i povjerenicima civilne zaštite.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B0EC" w14:textId="77777777" w:rsidR="00827CE8" w:rsidRDefault="00A16D98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Stožer civilne zaštite </w:t>
            </w:r>
            <w:r w:rsidR="00383844">
              <w:rPr>
                <w:sz w:val="20"/>
                <w:szCs w:val="20"/>
              </w:rPr>
              <w:t>Općine Janjine</w:t>
            </w:r>
          </w:p>
          <w:p w14:paraId="278252BC" w14:textId="77777777" w:rsidR="00A16D98" w:rsidRPr="00265EDD" w:rsidRDefault="00A16D98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Povjerenici civilne zaštite i njihovi zamjenici</w:t>
            </w:r>
          </w:p>
          <w:p w14:paraId="4DACC532" w14:textId="77777777" w:rsidR="00A16D98" w:rsidRPr="00265EDD" w:rsidRDefault="008F2116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7815F344" w14:textId="77777777" w:rsidR="00A16D98" w:rsidRPr="00265EDD" w:rsidRDefault="00A16D98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PU </w:t>
            </w:r>
            <w:r w:rsidR="00383844">
              <w:rPr>
                <w:sz w:val="20"/>
                <w:szCs w:val="20"/>
              </w:rPr>
              <w:t>Dubrovačka</w:t>
            </w:r>
            <w:r w:rsidRPr="00265EDD">
              <w:rPr>
                <w:sz w:val="20"/>
                <w:szCs w:val="20"/>
              </w:rPr>
              <w:t xml:space="preserve"> – PP </w:t>
            </w:r>
            <w:r w:rsidR="00383844">
              <w:rPr>
                <w:sz w:val="20"/>
                <w:szCs w:val="20"/>
              </w:rPr>
              <w:t>Ston</w:t>
            </w:r>
          </w:p>
          <w:p w14:paraId="7D226B50" w14:textId="77777777" w:rsidR="00A16D98" w:rsidRPr="00265EDD" w:rsidRDefault="00A16D98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Gradsko društvo Crvenog križa </w:t>
            </w:r>
            <w:r w:rsidR="00383844">
              <w:rPr>
                <w:sz w:val="20"/>
                <w:szCs w:val="20"/>
              </w:rPr>
              <w:t>Dubrovnik</w:t>
            </w:r>
          </w:p>
          <w:p w14:paraId="2C7BE6C2" w14:textId="77777777" w:rsidR="00A16D98" w:rsidRPr="00265EDD" w:rsidRDefault="00A16D98" w:rsidP="00DD4722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Centar za socijalnu skrb </w:t>
            </w:r>
            <w:r w:rsidR="00383844">
              <w:rPr>
                <w:sz w:val="20"/>
                <w:szCs w:val="20"/>
              </w:rPr>
              <w:t>Dubrovnik</w:t>
            </w:r>
          </w:p>
          <w:p w14:paraId="28505C59" w14:textId="77777777" w:rsidR="00A16D98" w:rsidRPr="00265EDD" w:rsidRDefault="00A16D98" w:rsidP="00383844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Pravne osobe od interesa za sustav civilne zaštite </w:t>
            </w:r>
            <w:r w:rsidR="00383844">
              <w:rPr>
                <w:sz w:val="20"/>
                <w:szCs w:val="20"/>
              </w:rPr>
              <w:t>Općine Janjina</w:t>
            </w:r>
          </w:p>
        </w:tc>
      </w:tr>
      <w:tr w:rsidR="00A16D98" w:rsidRPr="00A2417E" w14:paraId="4FDC6EA7" w14:textId="77777777" w:rsidTr="00265EDD">
        <w:trPr>
          <w:trHeight w:val="654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BEF34" w14:textId="77777777" w:rsidR="00A16D98" w:rsidRPr="00265EDD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49613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sz w:val="20"/>
                <w:szCs w:val="20"/>
                <w:lang w:eastAsia="hr-HR"/>
              </w:rPr>
              <w:t>Organizacija provođenja zbrinjavanja</w:t>
            </w:r>
          </w:p>
          <w:p w14:paraId="1A8E3E3B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6237D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zbrinjavanju ugroženog i stradalog stanovništva angažirati će se:</w:t>
            </w:r>
          </w:p>
          <w:p w14:paraId="46BC6C3E" w14:textId="77777777" w:rsidR="00A16D98" w:rsidRPr="00265EDD" w:rsidRDefault="00A16D98" w:rsidP="00DD472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Redovne zdravstvene institucije i ustanove,</w:t>
            </w:r>
          </w:p>
          <w:p w14:paraId="45916DB3" w14:textId="77777777" w:rsidR="00A16D98" w:rsidRPr="00265EDD" w:rsidRDefault="00A16D98" w:rsidP="00DD472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Gradsko društvo Crvenog križa</w:t>
            </w:r>
            <w:r w:rsidR="00383844">
              <w:rPr>
                <w:sz w:val="20"/>
                <w:szCs w:val="20"/>
              </w:rPr>
              <w:t xml:space="preserve"> Dubrovnik</w:t>
            </w:r>
            <w:r w:rsidRPr="00265EDD">
              <w:rPr>
                <w:sz w:val="20"/>
                <w:szCs w:val="20"/>
              </w:rPr>
              <w:t>,</w:t>
            </w:r>
          </w:p>
          <w:p w14:paraId="772A4A6F" w14:textId="77777777" w:rsidR="00A16D98" w:rsidRPr="00265EDD" w:rsidRDefault="00A16D98" w:rsidP="00DD4722">
            <w:pPr>
              <w:pStyle w:val="Odlomakpopisa"/>
              <w:numPr>
                <w:ilvl w:val="0"/>
                <w:numId w:val="16"/>
              </w:numPr>
              <w:tabs>
                <w:tab w:val="left" w:pos="5775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65EDD">
              <w:rPr>
                <w:sz w:val="20"/>
                <w:szCs w:val="20"/>
              </w:rPr>
              <w:t>Centar za socijalnu skrb</w:t>
            </w:r>
            <w:r w:rsidR="00383844">
              <w:rPr>
                <w:sz w:val="20"/>
                <w:szCs w:val="20"/>
              </w:rPr>
              <w:t xml:space="preserve"> Dubrovnik</w:t>
            </w:r>
            <w:r w:rsidRPr="00265EDD">
              <w:rPr>
                <w:sz w:val="20"/>
                <w:szCs w:val="20"/>
              </w:rPr>
              <w:t>,</w:t>
            </w:r>
          </w:p>
          <w:p w14:paraId="2C767F6F" w14:textId="77777777" w:rsidR="00A16D98" w:rsidRPr="00265EDD" w:rsidRDefault="00A16D98" w:rsidP="00DD472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Ekipe za prihvat ugroženog stanovništva.</w:t>
            </w:r>
          </w:p>
          <w:p w14:paraId="59038995" w14:textId="77777777" w:rsidR="00265EDD" w:rsidRPr="00265EDD" w:rsidRDefault="00265EDD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C2052C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Potrebnu hranu, prijevoz i ostalo osigurat će stručne službe 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Općine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Za p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rihvat ugroženog stanovništva brine 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Gradsko društvo Crvenog križa  uz pomoć udruga građana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organiziraju razmještaj u objektima namijenjenim za smještaj evakuiranog stanovništva, organiziraju postavljanje ležajeva, uređenje prostora, određuju dežurne osobe, organiziraju osiguravanje dovoljne količine hrane i vode za piće. Centar za socijalnu skrb - uspostavlja usku suradnju u provedbi navedenih zadaća s organizacijom Crvenog križa u materijalnom i drugom osiguranju potreba osoba koje podliježu zbrinjavanju.</w:t>
            </w:r>
          </w:p>
          <w:p w14:paraId="694D6656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Timovi opće medicine pružaju psiho-socijalnu i zdravstvenu njegu osobama na zbrinjavanju i upućuju prema potrebi u specijalizirane zdravstvene ustanove.</w:t>
            </w:r>
          </w:p>
          <w:p w14:paraId="595BED19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Udruge – pomažu u zadovoljavanju potreba osoba na zbrinjavanju, pripremanju hrane, opsluživanju te organizaciji društvenog života u objektima </w:t>
            </w:r>
          </w:p>
          <w:p w14:paraId="36A3BB96" w14:textId="77777777" w:rsidR="00A16D98" w:rsidRPr="00265EDD" w:rsidRDefault="008F2116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</w:t>
            </w:r>
            <w:r w:rsidR="00A16D98"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sudjeluju u dobavi potrebnih količina pitke i tehničke vode, prijenosu bolesnih osoba u transportna sredstva, prijevozu i drugo</w:t>
            </w:r>
            <w:r w:rsidR="00A16D98" w:rsidRPr="00265E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r-HR"/>
              </w:rPr>
              <w:t>.</w:t>
            </w:r>
          </w:p>
          <w:p w14:paraId="42604BB9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mogućih lokacija za podizanje šatorskih i drugih privremenih naselja</w:t>
            </w:r>
          </w:p>
          <w:p w14:paraId="0345D712" w14:textId="77777777" w:rsidR="00A16D98" w:rsidRDefault="00A16D98" w:rsidP="008D09F6">
            <w:pPr>
              <w:pStyle w:val="Odlomakpopis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82" w:hanging="283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zelene površine na području </w:t>
            </w:r>
            <w:r w:rsidR="00B028EF">
              <w:rPr>
                <w:sz w:val="20"/>
                <w:szCs w:val="20"/>
              </w:rPr>
              <w:t>Općine</w:t>
            </w:r>
            <w:r w:rsidRPr="00265EDD">
              <w:rPr>
                <w:sz w:val="20"/>
                <w:szCs w:val="20"/>
              </w:rPr>
              <w:t xml:space="preserve"> (blizina mogućih priključaka na infrastrukturu).</w:t>
            </w:r>
          </w:p>
          <w:p w14:paraId="29587F5E" w14:textId="77777777" w:rsidR="00C25C47" w:rsidRPr="00C25C47" w:rsidRDefault="00C25C47" w:rsidP="00C25C47">
            <w:pPr>
              <w:pStyle w:val="Odlomakpopisa"/>
              <w:autoSpaceDE w:val="0"/>
              <w:autoSpaceDN w:val="0"/>
              <w:adjustRightInd w:val="0"/>
              <w:ind w:left="482"/>
              <w:contextualSpacing/>
              <w:jc w:val="both"/>
              <w:rPr>
                <w:sz w:val="20"/>
                <w:szCs w:val="20"/>
              </w:rPr>
            </w:pPr>
          </w:p>
          <w:p w14:paraId="431B0AF9" w14:textId="77777777" w:rsidR="00A16D98" w:rsidRPr="00265EDD" w:rsidRDefault="00A16D98" w:rsidP="00B028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pružanje prve medicinske pomoći u 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Općini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pobrinuti će se Zavod za hitnu medicinu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-ispostava Orebić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Gradsko društvo Crvenog križa, Hrvatska Gorska služba spašavanja</w:t>
            </w:r>
            <w:r w:rsidRPr="00265E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Centar za socijalnu skrb. Nositelj veterinarskog zbrinjavanja na području 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Općine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Veterinarska stanica. Smještaj stoke provoditi će vlasnici stoke uz koordinaciju povjerenika za civilnu zaštitu i Stožera civilne zaštite </w:t>
            </w:r>
            <w:r w:rsidR="00B028E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Općine</w:t>
            </w: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Stočna hrana uskladištit će se u privatna domaćinstva prema raspoloživim kapacitetima.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0CA6B" w14:textId="77777777" w:rsidR="00A16D98" w:rsidRPr="00265EDD" w:rsidRDefault="008F2116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DVD</w:t>
            </w:r>
          </w:p>
          <w:p w14:paraId="0AE27485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Povjerenici civilne zaštite i njihovi zamjenici </w:t>
            </w:r>
          </w:p>
          <w:p w14:paraId="2C9CB95B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Gradsko društvo Crvenog križa </w:t>
            </w:r>
            <w:r w:rsidR="00383844">
              <w:rPr>
                <w:sz w:val="20"/>
                <w:szCs w:val="20"/>
              </w:rPr>
              <w:t>Dubrovnik</w:t>
            </w:r>
          </w:p>
          <w:p w14:paraId="137FA3E4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Centar za socijalnu skrb </w:t>
            </w:r>
            <w:r w:rsidR="00383844">
              <w:rPr>
                <w:sz w:val="20"/>
                <w:szCs w:val="20"/>
              </w:rPr>
              <w:t>Dubrovnik</w:t>
            </w:r>
          </w:p>
          <w:p w14:paraId="22BF0E6A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Pravne osobe od interesa za sustav civilne zaštite </w:t>
            </w:r>
            <w:r w:rsidR="00B028EF">
              <w:rPr>
                <w:sz w:val="20"/>
                <w:szCs w:val="20"/>
              </w:rPr>
              <w:t>Općine Janjina</w:t>
            </w:r>
          </w:p>
          <w:p w14:paraId="1698AEE9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65EDD">
              <w:rPr>
                <w:sz w:val="20"/>
                <w:szCs w:val="20"/>
              </w:rPr>
              <w:t xml:space="preserve">Ekipe za prihvat ugroženog stanovništva </w:t>
            </w:r>
          </w:p>
          <w:p w14:paraId="7A7ACF2C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lastRenderedPageBreak/>
              <w:t xml:space="preserve">Lovačke udruge </w:t>
            </w:r>
          </w:p>
          <w:p w14:paraId="546AC378" w14:textId="77777777" w:rsidR="00A16D98" w:rsidRPr="00A2417E" w:rsidRDefault="00A16D98" w:rsidP="008D09F6">
            <w:pPr>
              <w:autoSpaceDE w:val="0"/>
              <w:autoSpaceDN w:val="0"/>
              <w:adjustRightInd w:val="0"/>
              <w:spacing w:line="276" w:lineRule="auto"/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ED9AF6F" w14:textId="77777777" w:rsidR="00A16D98" w:rsidRPr="00A2417E" w:rsidRDefault="00A16D98" w:rsidP="008D09F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02BEAD3" w14:textId="77777777" w:rsidR="00A16D98" w:rsidRPr="00A2417E" w:rsidRDefault="00A16D98" w:rsidP="008D09F6">
            <w:pPr>
              <w:pStyle w:val="Odlomakpopisa"/>
              <w:autoSpaceDE w:val="0"/>
              <w:autoSpaceDN w:val="0"/>
              <w:adjustRightInd w:val="0"/>
              <w:spacing w:line="276" w:lineRule="auto"/>
              <w:ind w:left="317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16D98" w:rsidRPr="00A2417E" w14:paraId="46F49883" w14:textId="77777777" w:rsidTr="008D09F6">
        <w:trPr>
          <w:trHeight w:val="527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9E1" w14:textId="77777777" w:rsidR="00A16D98" w:rsidRPr="00265EDD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b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6515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sz w:val="20"/>
                <w:szCs w:val="20"/>
                <w:lang w:eastAsia="hr-HR"/>
              </w:rPr>
              <w:t>Organizacija provođenja humane asanacije i identifikacije poginulih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005" w14:textId="77777777" w:rsidR="00A16D98" w:rsidRPr="00265EDD" w:rsidRDefault="00A16D98" w:rsidP="008D09F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65E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Identifikacija poginulih.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1543" w14:textId="77777777" w:rsidR="00A16D98" w:rsidRPr="00265EDD" w:rsidRDefault="00A16D98" w:rsidP="00B028EF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Djelatnici PU </w:t>
            </w:r>
            <w:r w:rsidR="00B028EF">
              <w:rPr>
                <w:sz w:val="20"/>
                <w:szCs w:val="20"/>
              </w:rPr>
              <w:t>Dubrovačke</w:t>
            </w:r>
            <w:r w:rsidRPr="00265EDD">
              <w:rPr>
                <w:sz w:val="20"/>
                <w:szCs w:val="20"/>
              </w:rPr>
              <w:t>, obitelj nestalog</w:t>
            </w:r>
            <w:r w:rsidR="00265EDD" w:rsidRPr="00265EDD">
              <w:rPr>
                <w:sz w:val="20"/>
                <w:szCs w:val="20"/>
              </w:rPr>
              <w:t xml:space="preserve"> ili stradalog</w:t>
            </w:r>
            <w:r w:rsidRPr="00265EDD">
              <w:rPr>
                <w:sz w:val="20"/>
                <w:szCs w:val="20"/>
              </w:rPr>
              <w:t xml:space="preserve"> člana </w:t>
            </w:r>
          </w:p>
        </w:tc>
      </w:tr>
      <w:tr w:rsidR="00A16D98" w:rsidRPr="00A2417E" w14:paraId="49E23632" w14:textId="77777777" w:rsidTr="008D09F6">
        <w:trPr>
          <w:trHeight w:val="447"/>
          <w:jc w:val="center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A605" w14:textId="77777777" w:rsidR="00A16D98" w:rsidRPr="00A2417E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CBC7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9D1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Sanitarni nadzor na ukapanjem mrtvih provodi pogrebno poduzeće uz djelatnike groblja.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89B" w14:textId="77777777" w:rsidR="00A16D98" w:rsidRPr="00265EDD" w:rsidRDefault="00A16D98" w:rsidP="00DD472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Pogrebna poduzeća </w:t>
            </w:r>
          </w:p>
        </w:tc>
      </w:tr>
      <w:tr w:rsidR="00A16D98" w:rsidRPr="00A2417E" w14:paraId="2670B445" w14:textId="77777777" w:rsidTr="008D09F6">
        <w:trPr>
          <w:trHeight w:val="758"/>
          <w:jc w:val="center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0E0" w14:textId="77777777" w:rsidR="00A16D98" w:rsidRPr="00A2417E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EEE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8B15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Provedbene aktivnosti – mrtvačnica na mjesnom groblju. Sahranjivanje poginulih vršiti će se na mjesnim grobljima po mjestu prebivališta poginulih.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90AE" w14:textId="77777777" w:rsidR="00A16D98" w:rsidRPr="00265EDD" w:rsidRDefault="00A16D98" w:rsidP="00DD4722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Popis lokacija za ukop poginulih </w:t>
            </w:r>
          </w:p>
          <w:p w14:paraId="39A913FD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16D98" w:rsidRPr="00A2417E" w14:paraId="0F3D44E4" w14:textId="77777777" w:rsidTr="008D09F6">
        <w:trPr>
          <w:trHeight w:val="1187"/>
          <w:jc w:val="center"/>
        </w:trPr>
        <w:tc>
          <w:tcPr>
            <w:tcW w:w="24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08000" w14:textId="77777777" w:rsidR="00A16D98" w:rsidRPr="00A2417E" w:rsidRDefault="00A16D98" w:rsidP="008D09F6">
            <w:pPr>
              <w:pStyle w:val="Bezproreda"/>
              <w:jc w:val="center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5E0A" w14:textId="77777777" w:rsidR="00A16D98" w:rsidRPr="00A2417E" w:rsidRDefault="00A16D98" w:rsidP="008D09F6">
            <w:pPr>
              <w:pStyle w:val="Bezproreda"/>
              <w:rPr>
                <w:rFonts w:cs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5789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Prilikom humane asanacije za pružanje pogrebnih usluga koristit će usluge pogrebnih poduzeća.</w:t>
            </w:r>
          </w:p>
          <w:p w14:paraId="4D51FB8F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Organizacija humane asanacije i identifikacija poginulih vršiti će se po posebnim propisima (sudac, policijski službenik, liječnik, povjerenik CZ-a i dr.).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8027" w14:textId="77777777" w:rsidR="00A16D98" w:rsidRPr="00265EDD" w:rsidRDefault="00A16D98" w:rsidP="00B028EF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PU </w:t>
            </w:r>
            <w:r w:rsidR="00B028EF">
              <w:rPr>
                <w:sz w:val="20"/>
                <w:szCs w:val="20"/>
              </w:rPr>
              <w:t>Dubrovačke</w:t>
            </w:r>
            <w:r w:rsidRPr="00265EDD">
              <w:rPr>
                <w:sz w:val="20"/>
                <w:szCs w:val="20"/>
              </w:rPr>
              <w:t xml:space="preserve">– PP </w:t>
            </w:r>
            <w:r w:rsidR="00B028EF">
              <w:rPr>
                <w:sz w:val="20"/>
                <w:szCs w:val="20"/>
              </w:rPr>
              <w:t>Ston</w:t>
            </w:r>
          </w:p>
        </w:tc>
      </w:tr>
      <w:tr w:rsidR="00A16D98" w:rsidRPr="00A2417E" w14:paraId="1CE5BFC1" w14:textId="77777777" w:rsidTr="00FC40E9">
        <w:trPr>
          <w:trHeight w:val="443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A7CF" w14:textId="77777777" w:rsidR="00A16D98" w:rsidRPr="00265EDD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86E4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sz w:val="20"/>
                <w:szCs w:val="20"/>
                <w:lang w:eastAsia="hr-HR"/>
              </w:rPr>
              <w:t>Organizacija higijensko-epidemiološke zaštite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B8BE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Utvrđuju se nositelji sukladno operativnim planovima nositelja razrađuju zadaće i postupci pričuvnih kapaciteta, posebno osobne i uzajamne zaštite.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F152" w14:textId="77777777" w:rsidR="00A16D98" w:rsidRPr="00265EDD" w:rsidRDefault="00B028EF" w:rsidP="00DD4722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 DU</w:t>
            </w:r>
            <w:r w:rsidR="00A16D98" w:rsidRPr="00265EDD">
              <w:rPr>
                <w:sz w:val="20"/>
                <w:szCs w:val="20"/>
              </w:rPr>
              <w:t>Ž</w:t>
            </w:r>
          </w:p>
          <w:p w14:paraId="2DC29548" w14:textId="77777777" w:rsidR="00A16D98" w:rsidRPr="00265EDD" w:rsidRDefault="00A16D98" w:rsidP="008D09F6">
            <w:pPr>
              <w:autoSpaceDE w:val="0"/>
              <w:autoSpaceDN w:val="0"/>
              <w:adjustRightInd w:val="0"/>
              <w:spacing w:line="276" w:lineRule="auto"/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D98" w:rsidRPr="00A2417E" w14:paraId="111D50E3" w14:textId="77777777" w:rsidTr="00FC40E9">
        <w:trPr>
          <w:trHeight w:val="1814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055D" w14:textId="77777777" w:rsidR="00A16D98" w:rsidRPr="00265EDD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87BD" w14:textId="77777777" w:rsidR="00A16D98" w:rsidRPr="00265EDD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265EDD">
              <w:rPr>
                <w:rFonts w:cs="Times New Roman"/>
                <w:sz w:val="20"/>
                <w:szCs w:val="20"/>
                <w:lang w:eastAsia="hr-HR"/>
              </w:rPr>
              <w:t>Organizacija osiguravanja hrane i vode za piće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5E63" w14:textId="77777777" w:rsidR="00A16D98" w:rsidRPr="00265EDD" w:rsidRDefault="00A16D98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Stožer prikuplja informacije o stanju vodoopskrbnog sustava, a za to je zadužen član Stožera za vodoopskrbu uz suradnju sa Zavodom za javno zdravstvo.</w:t>
            </w:r>
          </w:p>
          <w:p w14:paraId="6191D833" w14:textId="77777777" w:rsidR="00A16D98" w:rsidRPr="00265EDD" w:rsidRDefault="00893480" w:rsidP="00DD4722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U slučaju potrebe</w:t>
            </w:r>
            <w:r w:rsidR="00A16D98" w:rsidRPr="00265EDD">
              <w:rPr>
                <w:sz w:val="20"/>
                <w:szCs w:val="20"/>
              </w:rPr>
              <w:t xml:space="preserve"> organizira se dovoz vode na punktove po ugroženom području, a raspored određuje član Stožera za protupožarnu zaštitu.</w:t>
            </w:r>
          </w:p>
          <w:p w14:paraId="6FADBE1D" w14:textId="3CE839A5" w:rsidR="00A16D98" w:rsidRPr="00FC40E9" w:rsidRDefault="00A16D98" w:rsidP="00FC40E9">
            <w:pPr>
              <w:pStyle w:val="Odlomakpopisa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>Stožer određuje minimalne dnevne količine vode po osobi. U slučaju onečišćenja vode u zdencima aktivirat će se operativne snage civilne zaštite radi dezinfekcije zdenaca, a prema uputama Zavoda za javno zdravstvo-Epidemiološki odjel.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5F1C" w14:textId="77777777" w:rsidR="00A16D98" w:rsidRPr="00265EDD" w:rsidRDefault="00A16D98" w:rsidP="00C25C47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Stožer civilne zaštite </w:t>
            </w:r>
            <w:r w:rsidR="00B028EF">
              <w:rPr>
                <w:sz w:val="20"/>
                <w:szCs w:val="20"/>
              </w:rPr>
              <w:t>Općine Janjina</w:t>
            </w:r>
          </w:p>
          <w:p w14:paraId="3A44A9B0" w14:textId="77777777" w:rsidR="00A16D98" w:rsidRPr="00265EDD" w:rsidRDefault="00A16D98" w:rsidP="00C25C47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Povjerenici civilne zaštite i njihovi zamjenici </w:t>
            </w:r>
          </w:p>
          <w:p w14:paraId="772E89CB" w14:textId="77777777" w:rsidR="00C25C47" w:rsidRPr="00265EDD" w:rsidRDefault="00C25C47" w:rsidP="00C25C47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4F692E2D" w14:textId="77777777" w:rsidR="00A16D98" w:rsidRPr="00265EDD" w:rsidRDefault="00A16D98" w:rsidP="00B028EF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65EDD">
              <w:rPr>
                <w:sz w:val="20"/>
                <w:szCs w:val="20"/>
              </w:rPr>
              <w:t xml:space="preserve">Pravne osobe od interesa za sustav civilne zaštite  </w:t>
            </w:r>
            <w:r w:rsidR="00B028EF">
              <w:rPr>
                <w:sz w:val="20"/>
                <w:szCs w:val="20"/>
              </w:rPr>
              <w:t>Općine Janjina</w:t>
            </w:r>
          </w:p>
        </w:tc>
      </w:tr>
      <w:tr w:rsidR="00A16D98" w:rsidRPr="00A2417E" w14:paraId="4BB6354C" w14:textId="77777777" w:rsidTr="008D09F6">
        <w:trPr>
          <w:trHeight w:val="495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D475" w14:textId="77777777" w:rsidR="00A16D98" w:rsidRPr="00893480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b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44A0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sz w:val="20"/>
                <w:szCs w:val="20"/>
                <w:lang w:eastAsia="hr-HR"/>
              </w:rPr>
              <w:t>Organizacija središta za informiranje stanovništva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9D7" w14:textId="77777777" w:rsidR="00893480" w:rsidRPr="00893480" w:rsidRDefault="00A16D98" w:rsidP="00694686">
            <w:pPr>
              <w:pStyle w:val="Odlomakpopisa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Stožer započinje prikupljanje podataka o stanju </w:t>
            </w:r>
            <w:r w:rsidR="00893480" w:rsidRPr="00893480">
              <w:rPr>
                <w:sz w:val="20"/>
                <w:szCs w:val="20"/>
              </w:rPr>
              <w:t xml:space="preserve">na </w:t>
            </w:r>
            <w:r w:rsidR="00C25C47">
              <w:rPr>
                <w:sz w:val="20"/>
                <w:szCs w:val="20"/>
              </w:rPr>
              <w:t>požarištu</w:t>
            </w:r>
            <w:r w:rsidR="00893480" w:rsidRPr="00893480">
              <w:rPr>
                <w:sz w:val="20"/>
                <w:szCs w:val="20"/>
              </w:rPr>
              <w:t>, smjeru puhanja vjetra i smjeru kretanja oblaka dima</w:t>
            </w:r>
          </w:p>
          <w:p w14:paraId="3054BD2C" w14:textId="77777777" w:rsidR="00A16D98" w:rsidRPr="00893480" w:rsidRDefault="00A16D98" w:rsidP="00694686">
            <w:pPr>
              <w:pStyle w:val="Odlomakpopisa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Informacije se prikupljaju od strane </w:t>
            </w:r>
            <w:r w:rsidR="00C25C47">
              <w:rPr>
                <w:sz w:val="20"/>
                <w:szCs w:val="20"/>
              </w:rPr>
              <w:t xml:space="preserve">DVD-a, </w:t>
            </w:r>
            <w:r w:rsidR="00B028EF">
              <w:rPr>
                <w:sz w:val="20"/>
                <w:szCs w:val="20"/>
              </w:rPr>
              <w:t>N</w:t>
            </w:r>
            <w:r w:rsidR="00893480" w:rsidRPr="00893480">
              <w:rPr>
                <w:sz w:val="20"/>
                <w:szCs w:val="20"/>
              </w:rPr>
              <w:t>ačelnika</w:t>
            </w:r>
            <w:r w:rsidR="00B028EF">
              <w:rPr>
                <w:sz w:val="20"/>
                <w:szCs w:val="20"/>
              </w:rPr>
              <w:t xml:space="preserve"> općine</w:t>
            </w:r>
            <w:r w:rsidR="00893480" w:rsidRPr="00893480">
              <w:rPr>
                <w:sz w:val="20"/>
                <w:szCs w:val="20"/>
              </w:rPr>
              <w:t xml:space="preserve">, predsjednika mjesnih odbora, </w:t>
            </w:r>
            <w:r w:rsidRPr="00893480">
              <w:rPr>
                <w:sz w:val="20"/>
                <w:szCs w:val="20"/>
              </w:rPr>
              <w:t>povjerenika civilne zaštite i Centra 112.</w:t>
            </w:r>
          </w:p>
          <w:p w14:paraId="3DEA0013" w14:textId="77777777" w:rsidR="00A16D98" w:rsidRPr="00893480" w:rsidRDefault="00A16D98" w:rsidP="00DD4722">
            <w:pPr>
              <w:pStyle w:val="Odlomakpopisa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Informiranje građana o mjerama i postupcima za zaštitu zdravlja, života i imovine, informiranje o evakuaciji i mjestima okupljanja, osiguranje vozila za evakuaciju, osiguranje hrane i vode za piće, utvrđivanje lokacija, prihvat i zbrinjavanje stanovništva, organizacija života u prihvatnom centru (koristi se sustav javnog uzbunjivanja, lokalne radio stanice, Internet za prenošenje uputa o postupcima bitnim za preživljavanje tijekom trajanja događaja i mjerama koje treba provesti nakon njegovog okončanja).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B07E" w14:textId="77777777" w:rsidR="00A16D98" w:rsidRPr="00893480" w:rsidRDefault="00A16D98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Koordinator na lokaciji </w:t>
            </w:r>
          </w:p>
          <w:p w14:paraId="22ACB894" w14:textId="77777777" w:rsidR="00A16D98" w:rsidRPr="00893480" w:rsidRDefault="00A16D98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Stožer civilne zaštite </w:t>
            </w:r>
            <w:r w:rsidR="00B028EF">
              <w:rPr>
                <w:sz w:val="20"/>
                <w:szCs w:val="20"/>
              </w:rPr>
              <w:t>Općine Janjina</w:t>
            </w:r>
          </w:p>
          <w:p w14:paraId="5731C155" w14:textId="77777777" w:rsidR="00A16D98" w:rsidRDefault="00A16D98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Povjerenici civilne zaštite i njihovi zamjenici </w:t>
            </w:r>
          </w:p>
          <w:p w14:paraId="2AD2C33B" w14:textId="77777777" w:rsidR="00C25C47" w:rsidRPr="00C25C47" w:rsidRDefault="00C25C47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729870BE" w14:textId="77777777" w:rsidR="00A16D98" w:rsidRPr="00893480" w:rsidRDefault="00A16D98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Radio </w:t>
            </w:r>
            <w:r w:rsidR="00B028EF">
              <w:rPr>
                <w:sz w:val="20"/>
                <w:szCs w:val="20"/>
              </w:rPr>
              <w:t>Dubrovnik</w:t>
            </w:r>
          </w:p>
          <w:p w14:paraId="5D2A1FB5" w14:textId="77777777" w:rsidR="00893480" w:rsidRPr="00893480" w:rsidRDefault="00C25C47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radio</w:t>
            </w:r>
          </w:p>
          <w:p w14:paraId="340F582B" w14:textId="77777777" w:rsidR="00A16D98" w:rsidRPr="00893480" w:rsidRDefault="00A16D98" w:rsidP="00C25C47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Internet.</w:t>
            </w:r>
          </w:p>
        </w:tc>
      </w:tr>
      <w:tr w:rsidR="00A16D98" w:rsidRPr="00A2417E" w14:paraId="2B57ABEE" w14:textId="77777777" w:rsidTr="008D09F6">
        <w:trPr>
          <w:trHeight w:val="254"/>
          <w:jc w:val="center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78FFC" w14:textId="77777777" w:rsidR="00A16D98" w:rsidRPr="00893480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B7531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sz w:val="20"/>
                <w:szCs w:val="20"/>
                <w:lang w:eastAsia="hr-HR"/>
              </w:rPr>
              <w:t>Organizacija prihvata pomoći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B8694" w14:textId="77777777" w:rsidR="00A16D98" w:rsidRPr="00893480" w:rsidRDefault="00A16D98" w:rsidP="00DD4722">
            <w:pPr>
              <w:pStyle w:val="Odlomakpopisa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Osiguranje ljudstva i materijalnih sredstava.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6DB4C" w14:textId="77777777" w:rsidR="00A16D98" w:rsidRPr="00893480" w:rsidRDefault="00893480" w:rsidP="00C25C47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Grad </w:t>
            </w:r>
            <w:r w:rsidR="00C25C47">
              <w:rPr>
                <w:sz w:val="20"/>
                <w:szCs w:val="20"/>
              </w:rPr>
              <w:t>Buzet</w:t>
            </w:r>
          </w:p>
        </w:tc>
      </w:tr>
      <w:tr w:rsidR="00A16D98" w:rsidRPr="00A2417E" w14:paraId="64284736" w14:textId="77777777" w:rsidTr="008D09F6">
        <w:trPr>
          <w:trHeight w:val="739"/>
          <w:jc w:val="center"/>
        </w:trPr>
        <w:tc>
          <w:tcPr>
            <w:tcW w:w="2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BA193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2759F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0719D9" w14:textId="77777777" w:rsidR="00A16D98" w:rsidRPr="00893480" w:rsidRDefault="00A16D98" w:rsidP="00B028EF">
            <w:pPr>
              <w:pStyle w:val="Odlomakpopisa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Za prihvat sanitetsko</w:t>
            </w:r>
            <w:r w:rsidR="00893480" w:rsidRPr="00893480">
              <w:rPr>
                <w:sz w:val="20"/>
                <w:szCs w:val="20"/>
              </w:rPr>
              <w:t>g materijala i lijekova zadužen</w:t>
            </w:r>
            <w:r w:rsidR="00B028EF">
              <w:rPr>
                <w:sz w:val="20"/>
                <w:szCs w:val="20"/>
              </w:rPr>
              <w:t>a</w:t>
            </w:r>
            <w:r w:rsidRPr="00893480">
              <w:rPr>
                <w:sz w:val="20"/>
                <w:szCs w:val="20"/>
              </w:rPr>
              <w:t xml:space="preserve"> je </w:t>
            </w:r>
            <w:r w:rsidR="00B028EF">
              <w:rPr>
                <w:sz w:val="20"/>
                <w:szCs w:val="20"/>
              </w:rPr>
              <w:t>Općina</w:t>
            </w:r>
            <w:r w:rsidRPr="00893480">
              <w:rPr>
                <w:sz w:val="20"/>
                <w:szCs w:val="20"/>
              </w:rPr>
              <w:t>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75F71" w14:textId="77777777" w:rsidR="00A16D98" w:rsidRPr="00893480" w:rsidRDefault="00A16D98" w:rsidP="00C25C47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Povjerenici civilne zaštite i njihovi zamjenici </w:t>
            </w:r>
          </w:p>
          <w:p w14:paraId="63954213" w14:textId="77777777" w:rsidR="00C25C47" w:rsidRPr="00265EDD" w:rsidRDefault="00C25C47" w:rsidP="00C25C47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</w:t>
            </w:r>
          </w:p>
          <w:p w14:paraId="7014AC70" w14:textId="77777777" w:rsidR="00A16D98" w:rsidRPr="00893480" w:rsidRDefault="00A16D98" w:rsidP="00C25C47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Organizacija prihvata pomoći i objekti </w:t>
            </w:r>
          </w:p>
        </w:tc>
      </w:tr>
      <w:tr w:rsidR="00A16D98" w:rsidRPr="00A2417E" w14:paraId="251D2D43" w14:textId="77777777" w:rsidTr="008D09F6">
        <w:trPr>
          <w:trHeight w:val="1080"/>
          <w:jc w:val="center"/>
        </w:trPr>
        <w:tc>
          <w:tcPr>
            <w:tcW w:w="2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0CCA3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78A3D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3E44" w14:textId="77777777" w:rsidR="00A16D98" w:rsidRPr="00893480" w:rsidRDefault="00A16D98" w:rsidP="00DD4722">
            <w:pPr>
              <w:pStyle w:val="Odlomakpopisa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Punkt za prihvat pomoći biti će uspostavljen u  Ordinacijama opće medicine, a za prihvat je zadužen član Stožera za zdravstveno zbrinjavanje. </w:t>
            </w:r>
          </w:p>
          <w:p w14:paraId="5B84BD6C" w14:textId="77777777" w:rsidR="00A16D98" w:rsidRPr="00893480" w:rsidRDefault="00A16D98" w:rsidP="00DD4722">
            <w:pPr>
              <w:pStyle w:val="Odlomakpopisa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Vatrogasne postrojbe prihvaćaju se na lokaciji vatrogasnog doma, a za prihvat je zadužen član Stožera za protupožarnu zaštitu.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C8DB" w14:textId="77777777" w:rsidR="00A16D98" w:rsidRPr="00A2417E" w:rsidRDefault="00A16D98" w:rsidP="008D09F6">
            <w:pPr>
              <w:pStyle w:val="Odlomakpopisa"/>
              <w:autoSpaceDE w:val="0"/>
              <w:autoSpaceDN w:val="0"/>
              <w:adjustRightInd w:val="0"/>
              <w:ind w:left="36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16D98" w:rsidRPr="00A2417E" w14:paraId="64C20B34" w14:textId="77777777" w:rsidTr="008D09F6">
        <w:trPr>
          <w:trHeight w:val="603"/>
          <w:jc w:val="center"/>
        </w:trPr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38D" w14:textId="77777777" w:rsidR="00A16D98" w:rsidRPr="00893480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b/>
                <w:sz w:val="20"/>
                <w:szCs w:val="20"/>
                <w:lang w:eastAsia="hr-HR"/>
              </w:rPr>
              <w:lastRenderedPageBreak/>
              <w:t>14.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CB9D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sz w:val="20"/>
                <w:szCs w:val="20"/>
                <w:lang w:eastAsia="hr-HR"/>
              </w:rPr>
              <w:t>Organizacija pružanja psihološke pomoći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1562" w14:textId="77777777" w:rsidR="00A16D98" w:rsidRPr="00893480" w:rsidRDefault="00A16D98" w:rsidP="00DD4722">
            <w:pPr>
              <w:pStyle w:val="Odlomakpopis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>Psihološku potporu pružiti će djelatnici Centra za socijalnu skrb.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3827" w14:textId="77777777" w:rsidR="00A16D98" w:rsidRPr="00893480" w:rsidRDefault="00A16D98" w:rsidP="00B028EF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Centar za socijalnu skrb </w:t>
            </w:r>
            <w:r w:rsidR="00B028EF">
              <w:rPr>
                <w:sz w:val="20"/>
                <w:szCs w:val="20"/>
              </w:rPr>
              <w:t>Dubrovnik</w:t>
            </w:r>
          </w:p>
        </w:tc>
      </w:tr>
      <w:tr w:rsidR="00A16D98" w:rsidRPr="002253C0" w14:paraId="3C85C2E0" w14:textId="77777777" w:rsidTr="008D09F6">
        <w:trPr>
          <w:trHeight w:val="495"/>
          <w:jc w:val="center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BE55" w14:textId="77777777" w:rsidR="00A16D98" w:rsidRPr="00893480" w:rsidRDefault="00A16D98" w:rsidP="008D09F6">
            <w:pPr>
              <w:pStyle w:val="Bezproreda"/>
              <w:jc w:val="center"/>
              <w:rPr>
                <w:rFonts w:cs="Times New Roman"/>
                <w:b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b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80B3" w14:textId="77777777" w:rsidR="00A16D98" w:rsidRPr="00893480" w:rsidRDefault="00A16D98" w:rsidP="008D09F6">
            <w:pPr>
              <w:pStyle w:val="Bezproreda"/>
              <w:rPr>
                <w:rFonts w:cs="Times New Roman"/>
                <w:sz w:val="20"/>
                <w:szCs w:val="20"/>
                <w:lang w:eastAsia="hr-HR"/>
              </w:rPr>
            </w:pPr>
            <w:r w:rsidRPr="00893480">
              <w:rPr>
                <w:rFonts w:cs="Times New Roman"/>
                <w:sz w:val="20"/>
                <w:szCs w:val="20"/>
                <w:lang w:eastAsia="hr-HR"/>
              </w:rPr>
              <w:t>Troškovi angažiranih pravnih osoba i redovnih službi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00E2" w14:textId="77777777" w:rsidR="00A16D98" w:rsidRPr="00893480" w:rsidRDefault="00A16D98" w:rsidP="00DD4722">
            <w:pPr>
              <w:pStyle w:val="Odlomakpopisa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Troškovi aktiviranja snaga sustava civilne zaštite koje su u nadležnosti </w:t>
            </w:r>
            <w:r w:rsidR="00B028EF">
              <w:rPr>
                <w:sz w:val="20"/>
                <w:szCs w:val="20"/>
              </w:rPr>
              <w:t>Općine</w:t>
            </w:r>
            <w:r w:rsidRPr="00893480">
              <w:rPr>
                <w:sz w:val="20"/>
                <w:szCs w:val="20"/>
              </w:rPr>
              <w:t xml:space="preserve"> snosi </w:t>
            </w:r>
            <w:r w:rsidR="00B028EF">
              <w:rPr>
                <w:sz w:val="20"/>
                <w:szCs w:val="20"/>
              </w:rPr>
              <w:t>Općina</w:t>
            </w:r>
            <w:r w:rsidRPr="00893480">
              <w:rPr>
                <w:sz w:val="20"/>
                <w:szCs w:val="20"/>
              </w:rPr>
              <w:t>.</w:t>
            </w:r>
          </w:p>
          <w:p w14:paraId="5012D53D" w14:textId="77777777" w:rsidR="00A16D98" w:rsidRPr="00893480" w:rsidRDefault="00A16D98" w:rsidP="008D09F6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7CD" w14:textId="77777777" w:rsidR="00A16D98" w:rsidRPr="00893480" w:rsidRDefault="00A16D98" w:rsidP="00DD4722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Stožer civilne zaštite </w:t>
            </w:r>
            <w:r w:rsidR="00B028EF">
              <w:rPr>
                <w:sz w:val="20"/>
                <w:szCs w:val="20"/>
              </w:rPr>
              <w:t>Općine Janjina</w:t>
            </w:r>
          </w:p>
          <w:p w14:paraId="65B46116" w14:textId="77777777" w:rsidR="00827CE8" w:rsidRDefault="00A16D98" w:rsidP="00DD4722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Ažuriranje popisa te organizaciju prikupljanja podataka za MTS od građana provesti će Stožer u suradnji sa PP </w:t>
            </w:r>
            <w:r w:rsidR="00B028EF">
              <w:rPr>
                <w:sz w:val="20"/>
                <w:szCs w:val="20"/>
              </w:rPr>
              <w:t>Ston</w:t>
            </w:r>
          </w:p>
          <w:p w14:paraId="53FD6E85" w14:textId="77777777" w:rsidR="00A16D98" w:rsidRPr="00893480" w:rsidRDefault="00A16D98" w:rsidP="00DD4722">
            <w:pPr>
              <w:pStyle w:val="Odlomakpopisa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93480">
              <w:rPr>
                <w:sz w:val="20"/>
                <w:szCs w:val="20"/>
              </w:rPr>
              <w:t xml:space="preserve">Troškovi angažiranih pravnih osoba </w:t>
            </w:r>
          </w:p>
        </w:tc>
      </w:tr>
    </w:tbl>
    <w:p w14:paraId="7291EE0E" w14:textId="77777777" w:rsidR="00A16D98" w:rsidRPr="00877567" w:rsidRDefault="00A16D98" w:rsidP="00736AC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  <w:sectPr w:rsidR="00A16D98" w:rsidRPr="00877567" w:rsidSect="00A2417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3667164" w14:textId="77777777" w:rsidR="00E66768" w:rsidRPr="00736ACB" w:rsidRDefault="00E66768" w:rsidP="00D91606"/>
    <w:sectPr w:rsidR="00E66768" w:rsidRPr="00736ACB" w:rsidSect="00DB31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2E24" w14:textId="77777777" w:rsidR="001A5371" w:rsidRDefault="001A5371">
      <w:pPr>
        <w:spacing w:after="0" w:line="240" w:lineRule="auto"/>
      </w:pPr>
      <w:r>
        <w:separator/>
      </w:r>
    </w:p>
  </w:endnote>
  <w:endnote w:type="continuationSeparator" w:id="0">
    <w:p w14:paraId="4B672838" w14:textId="77777777" w:rsidR="001A5371" w:rsidRDefault="001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918A" w14:textId="77777777" w:rsidR="00736ACB" w:rsidRPr="0059117D" w:rsidRDefault="00736ACB" w:rsidP="00877567">
    <w:pPr>
      <w:pStyle w:val="Podnoje"/>
      <w:jc w:val="right"/>
      <w:rPr>
        <w:rFonts w:ascii="Calibri" w:hAnsi="Calibri" w:cs="Calibri"/>
      </w:rPr>
    </w:pPr>
  </w:p>
  <w:p w14:paraId="7B0F0790" w14:textId="77777777" w:rsidR="00736ACB" w:rsidRPr="00DA7EB5" w:rsidRDefault="00736ACB" w:rsidP="00877567">
    <w:pPr>
      <w:pStyle w:val="Podnoje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B028EF">
      <w:rPr>
        <w:noProof/>
        <w:color w:val="404040" w:themeColor="text1" w:themeTint="BF"/>
      </w:rPr>
      <w:t>3</w:t>
    </w:r>
    <w:r>
      <w:rPr>
        <w:noProof/>
        <w:color w:val="404040" w:themeColor="text1" w:themeTint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272A" w14:textId="77777777" w:rsidR="001A5371" w:rsidRDefault="001A5371">
      <w:pPr>
        <w:spacing w:after="0" w:line="240" w:lineRule="auto"/>
      </w:pPr>
      <w:r>
        <w:separator/>
      </w:r>
    </w:p>
  </w:footnote>
  <w:footnote w:type="continuationSeparator" w:id="0">
    <w:p w14:paraId="1412FD1F" w14:textId="77777777" w:rsidR="001A5371" w:rsidRDefault="001A5371">
      <w:pPr>
        <w:spacing w:after="0" w:line="240" w:lineRule="auto"/>
      </w:pPr>
      <w:r>
        <w:continuationSeparator/>
      </w:r>
    </w:p>
  </w:footnote>
  <w:footnote w:id="1">
    <w:p w14:paraId="2570F197" w14:textId="77777777" w:rsidR="00661BF4" w:rsidRPr="003A5D3D" w:rsidRDefault="00661BF4" w:rsidP="00661BF4">
      <w:pPr>
        <w:pStyle w:val="Tekstfusnote"/>
        <w:rPr>
          <w:rFonts w:ascii="Times New Roman" w:hAnsi="Times New Roman"/>
        </w:rPr>
      </w:pPr>
      <w:r w:rsidRPr="003A5D3D">
        <w:rPr>
          <w:rStyle w:val="Referencafusnote"/>
          <w:rFonts w:ascii="Times New Roman" w:hAnsi="Times New Roman"/>
        </w:rPr>
        <w:footnoteRef/>
      </w:r>
      <w:r w:rsidRPr="003A5D3D">
        <w:rPr>
          <w:rFonts w:ascii="Times New Roman" w:hAnsi="Times New Roman"/>
        </w:rPr>
        <w:t xml:space="preserve"> Izvor podataka: Procjena rizika RH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E95" w14:textId="77777777" w:rsidR="00736ACB" w:rsidRPr="002B0381" w:rsidRDefault="00000000" w:rsidP="00877567">
    <w:pPr>
      <w:pStyle w:val="Zaglavlje"/>
      <w:pBdr>
        <w:bottom w:val="single" w:sz="4" w:space="8" w:color="5B9BD5" w:themeColor="accent1"/>
      </w:pBdr>
      <w:spacing w:after="360"/>
      <w:contextualSpacing/>
      <w:jc w:val="right"/>
      <w:rPr>
        <w:rFonts w:ascii="Calibri" w:hAnsi="Calibri" w:cs="Calibri"/>
        <w:color w:val="404040" w:themeColor="text1" w:themeTint="BF"/>
      </w:rPr>
    </w:pPr>
    <w:sdt>
      <w:sdtPr>
        <w:rPr>
          <w:rFonts w:ascii="Calibri" w:hAnsi="Calibri" w:cs="Calibri"/>
          <w:color w:val="404040" w:themeColor="text1" w:themeTint="BF"/>
        </w:rPr>
        <w:alias w:val="Title"/>
        <w:tag w:val=""/>
        <w:id w:val="167985177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36ACB">
          <w:rPr>
            <w:rFonts w:ascii="Calibri" w:hAnsi="Calibri" w:cs="Calibri"/>
            <w:color w:val="404040" w:themeColor="text1" w:themeTint="BF"/>
          </w:rPr>
          <w:t xml:space="preserve">     </w:t>
        </w:r>
      </w:sdtContent>
    </w:sdt>
  </w:p>
  <w:p w14:paraId="21D3B50E" w14:textId="77777777" w:rsidR="00736ACB" w:rsidRDefault="00736ACB" w:rsidP="008775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2E"/>
    <w:multiLevelType w:val="hybridMultilevel"/>
    <w:tmpl w:val="3A76459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557B3"/>
    <w:multiLevelType w:val="hybridMultilevel"/>
    <w:tmpl w:val="8AD0BF2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94996"/>
    <w:multiLevelType w:val="hybridMultilevel"/>
    <w:tmpl w:val="AA643A92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B189B"/>
    <w:multiLevelType w:val="hybridMultilevel"/>
    <w:tmpl w:val="36C4903C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15057"/>
    <w:multiLevelType w:val="hybridMultilevel"/>
    <w:tmpl w:val="DBD63F0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B3889"/>
    <w:multiLevelType w:val="hybridMultilevel"/>
    <w:tmpl w:val="59B850D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110DD"/>
    <w:multiLevelType w:val="multilevel"/>
    <w:tmpl w:val="EF82F8B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573CC"/>
    <w:multiLevelType w:val="multilevel"/>
    <w:tmpl w:val="1E248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EF7DC1"/>
    <w:multiLevelType w:val="hybridMultilevel"/>
    <w:tmpl w:val="607E152E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20524"/>
    <w:multiLevelType w:val="hybridMultilevel"/>
    <w:tmpl w:val="C004E80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E4962"/>
    <w:multiLevelType w:val="hybridMultilevel"/>
    <w:tmpl w:val="CCB4C04E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6551C"/>
    <w:multiLevelType w:val="hybridMultilevel"/>
    <w:tmpl w:val="B58C528E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1795E"/>
    <w:multiLevelType w:val="hybridMultilevel"/>
    <w:tmpl w:val="9F98342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2493"/>
    <w:multiLevelType w:val="hybridMultilevel"/>
    <w:tmpl w:val="898C5816"/>
    <w:lvl w:ilvl="0" w:tplc="ACD88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23E0"/>
    <w:multiLevelType w:val="hybridMultilevel"/>
    <w:tmpl w:val="F3E07FE0"/>
    <w:lvl w:ilvl="0" w:tplc="94FAC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4540E"/>
    <w:multiLevelType w:val="hybridMultilevel"/>
    <w:tmpl w:val="C2801B92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F4795"/>
    <w:multiLevelType w:val="hybridMultilevel"/>
    <w:tmpl w:val="EA5091A0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E53DD"/>
    <w:multiLevelType w:val="hybridMultilevel"/>
    <w:tmpl w:val="17FC676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25190"/>
    <w:multiLevelType w:val="hybridMultilevel"/>
    <w:tmpl w:val="911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82919"/>
    <w:multiLevelType w:val="hybridMultilevel"/>
    <w:tmpl w:val="CFB602B0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62C"/>
    <w:multiLevelType w:val="hybridMultilevel"/>
    <w:tmpl w:val="9878C3FE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4956D0"/>
    <w:multiLevelType w:val="hybridMultilevel"/>
    <w:tmpl w:val="732A7CB8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7D1FF6"/>
    <w:multiLevelType w:val="hybridMultilevel"/>
    <w:tmpl w:val="9C8ADA8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5E528F"/>
    <w:multiLevelType w:val="hybridMultilevel"/>
    <w:tmpl w:val="EA82242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D352EC"/>
    <w:multiLevelType w:val="hybridMultilevel"/>
    <w:tmpl w:val="C86C4BCC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55F2A"/>
    <w:multiLevelType w:val="hybridMultilevel"/>
    <w:tmpl w:val="3566D20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7A44E6"/>
    <w:multiLevelType w:val="hybridMultilevel"/>
    <w:tmpl w:val="DA64BEE0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F86F28"/>
    <w:multiLevelType w:val="hybridMultilevel"/>
    <w:tmpl w:val="79B2220E"/>
    <w:lvl w:ilvl="0" w:tplc="BA94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F7269"/>
    <w:multiLevelType w:val="multilevel"/>
    <w:tmpl w:val="59EF7269"/>
    <w:lvl w:ilvl="0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5F0B6FD2"/>
    <w:multiLevelType w:val="hybridMultilevel"/>
    <w:tmpl w:val="139E1840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C180A"/>
    <w:multiLevelType w:val="hybridMultilevel"/>
    <w:tmpl w:val="C742EAAC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46200C"/>
    <w:multiLevelType w:val="hybridMultilevel"/>
    <w:tmpl w:val="5D8AD1E2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6628A"/>
    <w:multiLevelType w:val="hybridMultilevel"/>
    <w:tmpl w:val="1F68471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771555"/>
    <w:multiLevelType w:val="hybridMultilevel"/>
    <w:tmpl w:val="280846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86279"/>
    <w:multiLevelType w:val="hybridMultilevel"/>
    <w:tmpl w:val="0D8CEE4C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35C75"/>
    <w:multiLevelType w:val="hybridMultilevel"/>
    <w:tmpl w:val="85E2B0C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285D63"/>
    <w:multiLevelType w:val="hybridMultilevel"/>
    <w:tmpl w:val="EA96FD5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557C69"/>
    <w:multiLevelType w:val="hybridMultilevel"/>
    <w:tmpl w:val="14D22C9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17F66"/>
    <w:multiLevelType w:val="hybridMultilevel"/>
    <w:tmpl w:val="9FECC052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F0177B"/>
    <w:multiLevelType w:val="hybridMultilevel"/>
    <w:tmpl w:val="06543522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0C33F6"/>
    <w:multiLevelType w:val="hybridMultilevel"/>
    <w:tmpl w:val="541E8F14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9A42BC"/>
    <w:multiLevelType w:val="hybridMultilevel"/>
    <w:tmpl w:val="C952D446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7F0AC7"/>
    <w:multiLevelType w:val="hybridMultilevel"/>
    <w:tmpl w:val="4710A66A"/>
    <w:lvl w:ilvl="0" w:tplc="ACD881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028201">
    <w:abstractNumId w:val="6"/>
  </w:num>
  <w:num w:numId="2" w16cid:durableId="2001276731">
    <w:abstractNumId w:val="14"/>
  </w:num>
  <w:num w:numId="3" w16cid:durableId="1474516313">
    <w:abstractNumId w:val="7"/>
  </w:num>
  <w:num w:numId="4" w16cid:durableId="650642337">
    <w:abstractNumId w:val="26"/>
  </w:num>
  <w:num w:numId="5" w16cid:durableId="2059622001">
    <w:abstractNumId w:val="25"/>
  </w:num>
  <w:num w:numId="6" w16cid:durableId="840968381">
    <w:abstractNumId w:val="15"/>
  </w:num>
  <w:num w:numId="7" w16cid:durableId="1852186536">
    <w:abstractNumId w:val="16"/>
  </w:num>
  <w:num w:numId="8" w16cid:durableId="447504937">
    <w:abstractNumId w:val="24"/>
  </w:num>
  <w:num w:numId="9" w16cid:durableId="2139685615">
    <w:abstractNumId w:val="10"/>
  </w:num>
  <w:num w:numId="10" w16cid:durableId="655107096">
    <w:abstractNumId w:val="38"/>
  </w:num>
  <w:num w:numId="11" w16cid:durableId="598634576">
    <w:abstractNumId w:val="19"/>
  </w:num>
  <w:num w:numId="12" w16cid:durableId="1584416215">
    <w:abstractNumId w:val="11"/>
  </w:num>
  <w:num w:numId="13" w16cid:durableId="940140789">
    <w:abstractNumId w:val="4"/>
  </w:num>
  <w:num w:numId="14" w16cid:durableId="1754086052">
    <w:abstractNumId w:val="23"/>
  </w:num>
  <w:num w:numId="15" w16cid:durableId="1238132438">
    <w:abstractNumId w:val="3"/>
  </w:num>
  <w:num w:numId="16" w16cid:durableId="1875192119">
    <w:abstractNumId w:val="13"/>
  </w:num>
  <w:num w:numId="17" w16cid:durableId="1935091892">
    <w:abstractNumId w:val="20"/>
  </w:num>
  <w:num w:numId="18" w16cid:durableId="509295129">
    <w:abstractNumId w:val="35"/>
  </w:num>
  <w:num w:numId="19" w16cid:durableId="2003045205">
    <w:abstractNumId w:val="21"/>
  </w:num>
  <w:num w:numId="20" w16cid:durableId="1177235775">
    <w:abstractNumId w:val="0"/>
  </w:num>
  <w:num w:numId="21" w16cid:durableId="475728537">
    <w:abstractNumId w:val="31"/>
  </w:num>
  <w:num w:numId="22" w16cid:durableId="1213038003">
    <w:abstractNumId w:val="34"/>
  </w:num>
  <w:num w:numId="23" w16cid:durableId="1303342296">
    <w:abstractNumId w:val="39"/>
  </w:num>
  <w:num w:numId="24" w16cid:durableId="354507316">
    <w:abstractNumId w:val="41"/>
  </w:num>
  <w:num w:numId="25" w16cid:durableId="70154524">
    <w:abstractNumId w:val="8"/>
  </w:num>
  <w:num w:numId="26" w16cid:durableId="1330983661">
    <w:abstractNumId w:val="29"/>
  </w:num>
  <w:num w:numId="27" w16cid:durableId="268703012">
    <w:abstractNumId w:val="37"/>
  </w:num>
  <w:num w:numId="28" w16cid:durableId="1968315687">
    <w:abstractNumId w:val="36"/>
  </w:num>
  <w:num w:numId="29" w16cid:durableId="1910457913">
    <w:abstractNumId w:val="17"/>
  </w:num>
  <w:num w:numId="30" w16cid:durableId="1377389910">
    <w:abstractNumId w:val="30"/>
  </w:num>
  <w:num w:numId="31" w16cid:durableId="861675015">
    <w:abstractNumId w:val="5"/>
  </w:num>
  <w:num w:numId="32" w16cid:durableId="1035076541">
    <w:abstractNumId w:val="2"/>
  </w:num>
  <w:num w:numId="33" w16cid:durableId="1575310579">
    <w:abstractNumId w:val="22"/>
  </w:num>
  <w:num w:numId="34" w16cid:durableId="1296981660">
    <w:abstractNumId w:val="40"/>
  </w:num>
  <w:num w:numId="35" w16cid:durableId="218708172">
    <w:abstractNumId w:val="9"/>
  </w:num>
  <w:num w:numId="36" w16cid:durableId="776365276">
    <w:abstractNumId w:val="1"/>
  </w:num>
  <w:num w:numId="37" w16cid:durableId="955521423">
    <w:abstractNumId w:val="12"/>
  </w:num>
  <w:num w:numId="38" w16cid:durableId="18971828">
    <w:abstractNumId w:val="42"/>
  </w:num>
  <w:num w:numId="39" w16cid:durableId="23990458">
    <w:abstractNumId w:val="32"/>
  </w:num>
  <w:num w:numId="40" w16cid:durableId="1665820442">
    <w:abstractNumId w:val="18"/>
  </w:num>
  <w:num w:numId="41" w16cid:durableId="482041853">
    <w:abstractNumId w:val="33"/>
  </w:num>
  <w:num w:numId="42" w16cid:durableId="276722459">
    <w:abstractNumId w:val="28"/>
  </w:num>
  <w:num w:numId="43" w16cid:durableId="1968244155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59"/>
    <w:rsid w:val="00050441"/>
    <w:rsid w:val="00081200"/>
    <w:rsid w:val="00106560"/>
    <w:rsid w:val="00134922"/>
    <w:rsid w:val="001A5371"/>
    <w:rsid w:val="0023473A"/>
    <w:rsid w:val="00235211"/>
    <w:rsid w:val="00265EDD"/>
    <w:rsid w:val="002A35FB"/>
    <w:rsid w:val="002A6B4E"/>
    <w:rsid w:val="00383844"/>
    <w:rsid w:val="004434BF"/>
    <w:rsid w:val="004525ED"/>
    <w:rsid w:val="004826C5"/>
    <w:rsid w:val="004A25B1"/>
    <w:rsid w:val="004C554D"/>
    <w:rsid w:val="004D3344"/>
    <w:rsid w:val="004E1F09"/>
    <w:rsid w:val="004E781D"/>
    <w:rsid w:val="004F0DDD"/>
    <w:rsid w:val="00556466"/>
    <w:rsid w:val="00581B56"/>
    <w:rsid w:val="005A4DB9"/>
    <w:rsid w:val="00607D58"/>
    <w:rsid w:val="006178B2"/>
    <w:rsid w:val="00661BF4"/>
    <w:rsid w:val="006D6FAC"/>
    <w:rsid w:val="007050A9"/>
    <w:rsid w:val="00734294"/>
    <w:rsid w:val="00736ACB"/>
    <w:rsid w:val="00783835"/>
    <w:rsid w:val="007959C5"/>
    <w:rsid w:val="007A3A37"/>
    <w:rsid w:val="0080188A"/>
    <w:rsid w:val="00827CE8"/>
    <w:rsid w:val="0087069B"/>
    <w:rsid w:val="00893480"/>
    <w:rsid w:val="008F2116"/>
    <w:rsid w:val="009405DB"/>
    <w:rsid w:val="0094406E"/>
    <w:rsid w:val="009452C4"/>
    <w:rsid w:val="0099682A"/>
    <w:rsid w:val="009D2D5E"/>
    <w:rsid w:val="009F6C6E"/>
    <w:rsid w:val="00A16D98"/>
    <w:rsid w:val="00A1740D"/>
    <w:rsid w:val="00A2417E"/>
    <w:rsid w:val="00A273B9"/>
    <w:rsid w:val="00A36DD4"/>
    <w:rsid w:val="00A46157"/>
    <w:rsid w:val="00AE721E"/>
    <w:rsid w:val="00B028EF"/>
    <w:rsid w:val="00BB16EE"/>
    <w:rsid w:val="00BC068E"/>
    <w:rsid w:val="00C25C47"/>
    <w:rsid w:val="00CD2524"/>
    <w:rsid w:val="00CD4DE6"/>
    <w:rsid w:val="00CF7F0F"/>
    <w:rsid w:val="00D91606"/>
    <w:rsid w:val="00DB3159"/>
    <w:rsid w:val="00DD4722"/>
    <w:rsid w:val="00DF177F"/>
    <w:rsid w:val="00E66768"/>
    <w:rsid w:val="00E84C25"/>
    <w:rsid w:val="00ED2E74"/>
    <w:rsid w:val="00F6593A"/>
    <w:rsid w:val="00FB4F90"/>
    <w:rsid w:val="00FC40E9"/>
    <w:rsid w:val="00FD0BF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A6F7"/>
  <w15:chartTrackingRefBased/>
  <w15:docId w15:val="{E9F6514B-62B3-44A1-9317-41C29CF0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C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35FB"/>
    <w:pPr>
      <w:keepNext/>
      <w:keepLines/>
      <w:numPr>
        <w:numId w:val="1"/>
      </w:numPr>
      <w:spacing w:before="240" w:after="240" w:line="276" w:lineRule="auto"/>
      <w:jc w:val="both"/>
      <w:outlineLvl w:val="0"/>
    </w:pPr>
    <w:rPr>
      <w:rFonts w:ascii="Calibri" w:eastAsia="Times New Roman" w:hAnsi="Calibri" w:cs="Times New Roman"/>
      <w:b/>
      <w:bCs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35FB"/>
    <w:pPr>
      <w:keepNext/>
      <w:numPr>
        <w:ilvl w:val="1"/>
        <w:numId w:val="1"/>
      </w:numPr>
      <w:spacing w:before="240" w:after="240" w:line="276" w:lineRule="auto"/>
      <w:jc w:val="both"/>
      <w:outlineLvl w:val="1"/>
    </w:pPr>
    <w:rPr>
      <w:rFonts w:ascii="Calibri" w:eastAsia="Times New Roman" w:hAnsi="Calibri" w:cs="Times New Roman"/>
      <w:b/>
      <w:bCs/>
      <w:i/>
      <w:iCs/>
      <w:caps/>
      <w:sz w:val="24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2A35FB"/>
    <w:pPr>
      <w:keepNext/>
      <w:numPr>
        <w:ilvl w:val="2"/>
        <w:numId w:val="1"/>
      </w:numPr>
      <w:spacing w:before="240" w:after="120" w:line="276" w:lineRule="auto"/>
      <w:jc w:val="both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A35FB"/>
    <w:pPr>
      <w:keepNext/>
      <w:keepLines/>
      <w:numPr>
        <w:ilvl w:val="3"/>
        <w:numId w:val="1"/>
      </w:numPr>
      <w:spacing w:before="200" w:after="240" w:line="240" w:lineRule="auto"/>
      <w:outlineLvl w:val="3"/>
    </w:pPr>
    <w:rPr>
      <w:rFonts w:eastAsia="Times New Roman" w:cs="Times New Roman"/>
      <w:bCs/>
      <w:iCs/>
      <w:sz w:val="24"/>
      <w:szCs w:val="24"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A35FB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Cs/>
      <w:i/>
      <w:iCs/>
      <w:sz w:val="24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A35FB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A35FB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A35FB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A35F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DB3159"/>
    <w:pPr>
      <w:spacing w:after="0" w:line="24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BezproredaChar">
    <w:name w:val="Bez proreda Char"/>
    <w:link w:val="Bezproreda"/>
    <w:uiPriority w:val="1"/>
    <w:rsid w:val="00DB3159"/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39"/>
    <w:rsid w:val="00DB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2A35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2A35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A35FB"/>
    <w:rPr>
      <w:rFonts w:ascii="Calibri" w:eastAsia="Times New Roman" w:hAnsi="Calibri" w:cs="Times New Roman"/>
      <w:b/>
      <w:bCs/>
      <w:cap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A35FB"/>
    <w:rPr>
      <w:rFonts w:ascii="Calibri" w:eastAsia="Times New Roman" w:hAnsi="Calibri" w:cs="Times New Roman"/>
      <w:b/>
      <w:bCs/>
      <w:i/>
      <w:iCs/>
      <w:cap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2A35FB"/>
    <w:rPr>
      <w:rFonts w:ascii="Calibri" w:eastAsia="Times New Roman" w:hAnsi="Calibri" w:cs="Times New Roman"/>
      <w:b/>
      <w:bCs/>
      <w:sz w:val="24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2A35FB"/>
    <w:rPr>
      <w:rFonts w:eastAsia="Times New Roman" w:cs="Times New Roman"/>
      <w:bCs/>
      <w:iCs/>
      <w:sz w:val="24"/>
      <w:szCs w:val="24"/>
      <w:u w:val="single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2A35FB"/>
    <w:rPr>
      <w:rFonts w:ascii="Calibri" w:eastAsia="Times New Roman" w:hAnsi="Calibri" w:cs="Times New Roman"/>
      <w:bCs/>
      <w:i/>
      <w:iCs/>
      <w:sz w:val="24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2A35FB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2A35FB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002A35FB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002A35FB"/>
    <w:rPr>
      <w:rFonts w:ascii="Cambria" w:eastAsia="Times New Roman" w:hAnsi="Cambria" w:cs="Times New Roman"/>
      <w:sz w:val="24"/>
      <w:lang w:val="hr-HR"/>
    </w:rPr>
  </w:style>
  <w:style w:type="character" w:customStyle="1" w:styleId="NoSpacingChar1">
    <w:name w:val="No Spacing Char1"/>
    <w:rsid w:val="00E66768"/>
    <w:rPr>
      <w:rFonts w:ascii="Arial" w:eastAsia="Times New Roman" w:hAnsi="Arial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qFormat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Bezproreda1">
    <w:name w:val="Bez proreda1"/>
    <w:uiPriority w:val="1"/>
    <w:qFormat/>
    <w:rsid w:val="00DF17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slovknjige">
    <w:name w:val="Book Title"/>
    <w:uiPriority w:val="33"/>
    <w:rsid w:val="00A16D98"/>
    <w:rPr>
      <w:b/>
      <w:bCs/>
      <w:smallCaps/>
      <w:spacing w:val="5"/>
    </w:rPr>
  </w:style>
  <w:style w:type="paragraph" w:customStyle="1" w:styleId="Bezproreda2">
    <w:name w:val="Bez proreda2"/>
    <w:qFormat/>
    <w:rsid w:val="00A2417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Referencafusnote">
    <w:name w:val="footnote reference"/>
    <w:aliases w:val="Footnote"/>
    <w:unhideWhenUsed/>
    <w:rsid w:val="00661BF4"/>
    <w:rPr>
      <w:vertAlign w:val="superscript"/>
    </w:rPr>
  </w:style>
  <w:style w:type="character" w:customStyle="1" w:styleId="TekstfusnoteChar">
    <w:name w:val="Tekst fusnote Char"/>
    <w:aliases w:val=" Char Char,Char Char,Fusnota Char"/>
    <w:link w:val="Tekstfusnote"/>
    <w:rsid w:val="00661BF4"/>
    <w:rPr>
      <w:rFonts w:ascii="Arial" w:eastAsia="Times New Roman" w:hAnsi="Arial" w:cs="Times New Roman"/>
      <w:sz w:val="20"/>
      <w:szCs w:val="20"/>
      <w:lang w:eastAsia="hr-HR"/>
    </w:rPr>
  </w:style>
  <w:style w:type="paragraph" w:styleId="Tekstfusnote">
    <w:name w:val="footnote text"/>
    <w:aliases w:val=" Char,Char,Fusnota"/>
    <w:basedOn w:val="Normal"/>
    <w:link w:val="TekstfusnoteChar"/>
    <w:unhideWhenUsed/>
    <w:qFormat/>
    <w:rsid w:val="00661B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TekstfusnoteChar1">
    <w:name w:val="Tekst fusnote Char1"/>
    <w:basedOn w:val="Zadanifontodlomka"/>
    <w:uiPriority w:val="99"/>
    <w:semiHidden/>
    <w:rsid w:val="00661BF4"/>
    <w:rPr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2477</Words>
  <Characters>14124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Nenad Vidović</cp:lastModifiedBy>
  <cp:revision>3</cp:revision>
  <dcterms:created xsi:type="dcterms:W3CDTF">2019-10-08T19:18:00Z</dcterms:created>
  <dcterms:modified xsi:type="dcterms:W3CDTF">2025-10-01T17:36:00Z</dcterms:modified>
</cp:coreProperties>
</file>